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B86F0">
      <w:pPr>
        <w:spacing w:line="360" w:lineRule="auto"/>
        <w:jc w:val="center"/>
        <w:rPr>
          <w:rFonts w:ascii="宋体" w:hAnsi="宋体" w:eastAsia="宋体"/>
          <w:b/>
          <w:bCs/>
          <w:sz w:val="40"/>
          <w:szCs w:val="44"/>
        </w:rPr>
      </w:pPr>
      <w:r>
        <w:rPr>
          <w:rFonts w:hint="eastAsia" w:ascii="宋体" w:hAnsi="宋体" w:eastAsia="宋体"/>
          <w:b/>
          <w:bCs/>
          <w:sz w:val="40"/>
          <w:szCs w:val="44"/>
        </w:rPr>
        <w:t>《食用盐中抗结剂酒石酸铁的测定》</w:t>
      </w:r>
    </w:p>
    <w:p w14:paraId="12A80B59">
      <w:pPr>
        <w:spacing w:line="360" w:lineRule="auto"/>
        <w:jc w:val="center"/>
        <w:rPr>
          <w:rFonts w:ascii="宋体" w:hAnsi="宋体" w:eastAsia="宋体"/>
          <w:b/>
          <w:bCs/>
          <w:sz w:val="40"/>
          <w:szCs w:val="44"/>
        </w:rPr>
      </w:pPr>
      <w:r>
        <w:rPr>
          <w:rFonts w:hint="eastAsia" w:ascii="宋体" w:hAnsi="宋体" w:eastAsia="宋体"/>
          <w:b/>
          <w:bCs/>
          <w:sz w:val="40"/>
          <w:szCs w:val="44"/>
        </w:rPr>
        <w:t>编制说明（征求意见稿）</w:t>
      </w:r>
    </w:p>
    <w:p w14:paraId="3F7512F7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工作简况</w:t>
      </w:r>
    </w:p>
    <w:p w14:paraId="0343D4DE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1</w:t>
      </w:r>
      <w:r>
        <w:rPr>
          <w:rFonts w:hint="eastAsia" w:ascii="宋体" w:hAnsi="宋体" w:eastAsia="宋体"/>
          <w:b/>
          <w:bCs/>
          <w:sz w:val="24"/>
          <w:szCs w:val="24"/>
        </w:rPr>
        <w:t>、任务来源</w:t>
      </w:r>
    </w:p>
    <w:p w14:paraId="3C64ECC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本项目根据工业和信息化部《关于印发202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年第</w:t>
      </w:r>
      <w:r>
        <w:rPr>
          <w:rFonts w:hint="eastAsia" w:ascii="宋体" w:hAnsi="宋体" w:eastAsia="宋体"/>
          <w:sz w:val="24"/>
          <w:szCs w:val="24"/>
          <w:lang w:eastAsia="zh-CN"/>
        </w:rPr>
        <w:t>五</w:t>
      </w:r>
      <w:r>
        <w:rPr>
          <w:rFonts w:hint="eastAsia" w:ascii="宋体" w:hAnsi="宋体" w:eastAsia="宋体"/>
          <w:sz w:val="24"/>
          <w:szCs w:val="24"/>
        </w:rPr>
        <w:t>批行业标准制修订和外文版项目计划的通知》</w:t>
      </w:r>
      <w:r>
        <w:rPr>
          <w:rFonts w:hint="eastAsia" w:ascii="宋体" w:hAnsi="宋体" w:eastAsia="宋体"/>
          <w:sz w:val="24"/>
          <w:szCs w:val="24"/>
          <w:highlight w:val="none"/>
        </w:rPr>
        <w:t>（工信厅科〔</w:t>
      </w:r>
      <w:r>
        <w:rPr>
          <w:rFonts w:ascii="宋体" w:hAnsi="宋体" w:eastAsia="宋体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  <w:highlight w:val="none"/>
        </w:rPr>
        <w:t>〕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528</w:t>
      </w:r>
      <w:r>
        <w:rPr>
          <w:rFonts w:hint="eastAsia" w:ascii="宋体" w:hAnsi="宋体" w:eastAsia="宋体"/>
          <w:sz w:val="24"/>
          <w:szCs w:val="24"/>
          <w:highlight w:val="none"/>
        </w:rPr>
        <w:t>号）</w:t>
      </w:r>
      <w:r>
        <w:rPr>
          <w:rFonts w:hint="eastAsia" w:ascii="宋体" w:hAnsi="宋体" w:eastAsia="宋体"/>
          <w:sz w:val="24"/>
          <w:szCs w:val="24"/>
        </w:rPr>
        <w:t>要求，计划编号为</w:t>
      </w:r>
      <w:r>
        <w:rPr>
          <w:rFonts w:ascii="宋体" w:hAnsi="宋体" w:eastAsia="宋体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  <w:highlight w:val="none"/>
        </w:rPr>
        <w:t>-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1602</w:t>
      </w:r>
      <w:r>
        <w:rPr>
          <w:rFonts w:ascii="宋体" w:hAnsi="宋体" w:eastAsia="宋体"/>
          <w:sz w:val="24"/>
          <w:szCs w:val="24"/>
          <w:highlight w:val="none"/>
        </w:rPr>
        <w:t>T-QB</w:t>
      </w:r>
      <w:r>
        <w:rPr>
          <w:rFonts w:hint="eastAsia" w:ascii="宋体" w:hAnsi="宋体" w:eastAsia="宋体"/>
          <w:sz w:val="24"/>
          <w:szCs w:val="24"/>
        </w:rPr>
        <w:t>，项目名称“食用盐中抗结剂酒石酸铁的测定”进行标准制订，主要起草单位：</w:t>
      </w:r>
      <w:r>
        <w:rPr>
          <w:rFonts w:hint="eastAsia" w:ascii="宋体" w:hAnsi="宋体" w:eastAsia="宋体"/>
          <w:sz w:val="24"/>
          <w:szCs w:val="24"/>
          <w:highlight w:val="none"/>
        </w:rPr>
        <w:t>国盐检测（天津）有限责任公司</w:t>
      </w:r>
      <w:r>
        <w:rPr>
          <w:rFonts w:ascii="宋体" w:hAnsi="宋体" w:eastAsia="宋体"/>
          <w:sz w:val="24"/>
          <w:szCs w:val="24"/>
          <w:highlight w:val="none"/>
        </w:rPr>
        <w:t>、</w:t>
      </w:r>
      <w:r>
        <w:rPr>
          <w:rFonts w:hint="eastAsia" w:ascii="宋体" w:hAnsi="宋体" w:eastAsia="宋体"/>
          <w:sz w:val="24"/>
          <w:szCs w:val="24"/>
          <w:highlight w:val="none"/>
        </w:rPr>
        <w:t>中盐工程技术研究院有限公司、天津科技大学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计划完成时间202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月。</w:t>
      </w:r>
    </w:p>
    <w:p w14:paraId="4A8E7A83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2</w:t>
      </w:r>
      <w:r>
        <w:rPr>
          <w:rFonts w:hint="eastAsia" w:ascii="宋体" w:hAnsi="宋体" w:eastAsia="宋体"/>
          <w:b/>
          <w:bCs/>
          <w:sz w:val="24"/>
          <w:szCs w:val="24"/>
        </w:rPr>
        <w:t>、主要起草过程</w:t>
      </w:r>
    </w:p>
    <w:p w14:paraId="5517EE11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2</w:t>
      </w:r>
      <w:r>
        <w:rPr>
          <w:rFonts w:ascii="宋体" w:hAnsi="宋体" w:eastAsia="宋体"/>
          <w:b/>
          <w:sz w:val="24"/>
          <w:szCs w:val="24"/>
        </w:rPr>
        <w:t>.1起草阶段</w:t>
      </w:r>
    </w:p>
    <w:p w14:paraId="74E482F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标准起草任务下达后，起草单位随即组织相关专家组建标准起草工作组。工作组成员涵盖了多年从事标准化工作、经验丰富的工程师及检测人员。工作组就标准编制工作进行了初步研讨与部署，明确了标准起草的进度安排以及各起草单位和人员的职责分工。小组成员根据制定标准需要，查阅相关文献，收集了大量资料，并与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使用酒石酸铁的</w:t>
      </w:r>
      <w:r>
        <w:rPr>
          <w:rFonts w:hint="eastAsia" w:ascii="宋体" w:hAnsi="宋体" w:eastAsia="宋体"/>
          <w:sz w:val="24"/>
          <w:szCs w:val="24"/>
        </w:rPr>
        <w:t>生产企业进行技术交流，充分了解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食用</w:t>
      </w:r>
      <w:r>
        <w:rPr>
          <w:rFonts w:hint="eastAsia" w:ascii="宋体" w:hAnsi="宋体" w:eastAsia="宋体"/>
          <w:sz w:val="24"/>
          <w:szCs w:val="24"/>
        </w:rPr>
        <w:t>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及食品</w:t>
      </w:r>
      <w:r>
        <w:rPr>
          <w:rFonts w:hint="eastAsia" w:ascii="宋体" w:hAnsi="宋体" w:eastAsia="宋体"/>
          <w:sz w:val="24"/>
          <w:szCs w:val="24"/>
        </w:rPr>
        <w:t>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酒石酸铁</w:t>
      </w:r>
      <w:r>
        <w:rPr>
          <w:rFonts w:hint="eastAsia" w:ascii="宋体" w:hAnsi="宋体" w:eastAsia="宋体"/>
          <w:sz w:val="24"/>
          <w:szCs w:val="24"/>
        </w:rPr>
        <w:t>含量检测方法等信息，为进一步试验做准备。</w:t>
      </w:r>
    </w:p>
    <w:p w14:paraId="3DAC5A7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>至</w:t>
      </w: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ascii="宋体" w:hAnsi="宋体" w:eastAsia="宋体"/>
          <w:sz w:val="24"/>
          <w:szCs w:val="24"/>
        </w:rPr>
        <w:t>月间，</w:t>
      </w:r>
      <w:r>
        <w:rPr>
          <w:rFonts w:hint="eastAsia" w:ascii="宋体" w:hAnsi="宋体" w:eastAsia="宋体"/>
          <w:sz w:val="24"/>
          <w:szCs w:val="24"/>
        </w:rPr>
        <w:t>组织本标准项目起草人，通过沟通交流、技术咨询等途径对产品中酒石酸铁的状态展开调研。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同时</w:t>
      </w:r>
      <w:r>
        <w:rPr>
          <w:rFonts w:ascii="宋体" w:hAnsi="宋体" w:eastAsia="宋体"/>
          <w:sz w:val="24"/>
          <w:szCs w:val="24"/>
        </w:rPr>
        <w:t>收集了</w:t>
      </w:r>
      <w:r>
        <w:rPr>
          <w:rFonts w:hint="eastAsia" w:ascii="宋体" w:hAnsi="宋体" w:eastAsia="宋体"/>
          <w:sz w:val="24"/>
          <w:szCs w:val="24"/>
        </w:rPr>
        <w:t>各行业关于酒石酸铁的检测原理及方法。</w:t>
      </w:r>
    </w:p>
    <w:p w14:paraId="3A38342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月至202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eastAsia="zh-CN"/>
        </w:rPr>
        <w:t>，在前期深度调研的基础上，标准起草工作组系统开展了食用盐</w:t>
      </w:r>
      <w:r>
        <w:rPr>
          <w:rFonts w:hint="eastAsia" w:ascii="宋体" w:hAnsi="宋体" w:eastAsia="宋体"/>
          <w:sz w:val="24"/>
          <w:szCs w:val="24"/>
        </w:rPr>
        <w:t>中酒石酸铁</w:t>
      </w:r>
      <w:r>
        <w:rPr>
          <w:rFonts w:hint="eastAsia" w:ascii="宋体" w:hAnsi="宋体" w:eastAsia="宋体"/>
          <w:sz w:val="24"/>
          <w:szCs w:val="24"/>
          <w:lang w:eastAsia="zh-CN"/>
        </w:rPr>
        <w:t>检测方法的验证试验。经过大量试验数据的综合分析与论证，最终筛选确定了科学合理、适配性最优的检测方法。随后，工作组对验证数据进行了系统归纳与整理，并组织专题讨论，同时邀请相关专家对标准文本及编制说明提出修改意见，在此基础上形成标准征求意见稿。</w:t>
      </w:r>
    </w:p>
    <w:p w14:paraId="4731653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在标准前期调研、文本编写过程中，</w:t>
      </w:r>
      <w:r>
        <w:rPr>
          <w:rFonts w:hint="eastAsia" w:ascii="宋体" w:hAnsi="宋体" w:eastAsia="宋体"/>
          <w:sz w:val="24"/>
          <w:szCs w:val="24"/>
          <w:highlight w:val="none"/>
        </w:rPr>
        <w:t>雪天盐业集团股份有限公司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  <w:highlight w:val="none"/>
        </w:rPr>
        <w:t>中盐工程技术研究院有限公司、天津科技大学</w:t>
      </w:r>
      <w:r>
        <w:rPr>
          <w:rFonts w:hint="eastAsia" w:ascii="宋体" w:hAnsi="宋体" w:eastAsia="宋体"/>
          <w:sz w:val="24"/>
          <w:szCs w:val="24"/>
        </w:rPr>
        <w:t>做了大量工作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工作组经研讨，提出标准起草单位变更的申请。经全体委员一致同意后，于</w:t>
      </w:r>
      <w:r>
        <w:rPr>
          <w:rFonts w:hint="eastAsia" w:ascii="宋体" w:hAnsi="宋体" w:eastAsia="宋体"/>
          <w:sz w:val="24"/>
          <w:szCs w:val="24"/>
          <w:highlight w:val="none"/>
        </w:rPr>
        <w:t>202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highlight w:val="none"/>
        </w:rPr>
        <w:t>日</w:t>
      </w:r>
      <w:r>
        <w:rPr>
          <w:rFonts w:hint="eastAsia" w:ascii="宋体" w:hAnsi="宋体" w:eastAsia="宋体"/>
          <w:sz w:val="24"/>
          <w:szCs w:val="24"/>
        </w:rPr>
        <w:t>办理了计划项目调整申请。</w:t>
      </w:r>
    </w:p>
    <w:p w14:paraId="623591C6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2</w:t>
      </w:r>
      <w:r>
        <w:rPr>
          <w:rFonts w:ascii="宋体" w:hAnsi="宋体" w:eastAsia="宋体"/>
          <w:b/>
          <w:sz w:val="24"/>
          <w:szCs w:val="24"/>
        </w:rPr>
        <w:t>.2征求意见阶段</w:t>
      </w:r>
    </w:p>
    <w:p w14:paraId="0EA4FC5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行业标准草案初稿形成后，经工作组内部讨论与修改完善，形成标准征求意见稿，报送全国盐业标准化技术委员会开展公开征求意见工作。</w:t>
      </w:r>
    </w:p>
    <w:p w14:paraId="6A2D046C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3主要参加单位</w:t>
      </w:r>
      <w:r>
        <w:rPr>
          <w:rFonts w:hint="eastAsia" w:ascii="宋体" w:hAnsi="宋体" w:eastAsia="宋体"/>
          <w:b/>
          <w:sz w:val="24"/>
          <w:szCs w:val="24"/>
        </w:rPr>
        <w:t>和工作组成员及其所做的工作等</w:t>
      </w:r>
    </w:p>
    <w:p w14:paraId="16711C35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</w:rPr>
        <w:t>本标准由国盐检测（天津）有限责任公司、雪天盐业集团股份有限公司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  <w:highlight w:val="none"/>
        </w:rPr>
        <w:t>中盐工程技术研究院有限公司、天津科技大学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共同起草</w:t>
      </w:r>
      <w:r>
        <w:rPr>
          <w:rFonts w:hint="eastAsia" w:ascii="宋体" w:hAnsi="宋体" w:eastAsia="宋体"/>
          <w:sz w:val="24"/>
          <w:szCs w:val="24"/>
          <w:highlight w:val="none"/>
        </w:rPr>
        <w:t>。</w:t>
      </w:r>
    </w:p>
    <w:p w14:paraId="464676A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本标准主要起草人：车丽、王茹、吕晓伟、唐娜、赵俊喜、李娜、王小瑀、易守福、张建平。</w:t>
      </w:r>
    </w:p>
    <w:p w14:paraId="25F36F0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highlight w:val="none"/>
        </w:rPr>
      </w:pPr>
      <w:r>
        <w:rPr>
          <w:rFonts w:hint="eastAsia" w:ascii="宋体" w:hAnsi="宋体" w:eastAsia="宋体"/>
          <w:sz w:val="24"/>
          <w:szCs w:val="24"/>
        </w:rPr>
        <w:t>所做的工作：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车丽</w:t>
      </w:r>
      <w:r>
        <w:rPr>
          <w:rFonts w:hint="eastAsia" w:ascii="宋体" w:hAnsi="宋体" w:eastAsia="宋体"/>
          <w:sz w:val="24"/>
          <w:szCs w:val="24"/>
        </w:rPr>
        <w:t>任起草工作组组长，全面负责标准起草工作协调、重大问题解决等。王茹、吕晓伟、唐娜、赵俊喜负责市场调研、产品信息收集、生产工艺考察、标准内容起草等工作，李娜、王小瑀、易守福负责试验验证及标准内容起草等工作，王小瑀、张建平负责国内外文献查阅、标准编制及事务性联系等工作。</w:t>
      </w:r>
    </w:p>
    <w:p w14:paraId="000AF011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二、标准编制原则和主要内容</w:t>
      </w:r>
    </w:p>
    <w:p w14:paraId="11361566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（一）标准编制原则</w:t>
      </w:r>
    </w:p>
    <w:p w14:paraId="6A411FA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本标准是按照</w:t>
      </w:r>
      <w:r>
        <w:rPr>
          <w:rFonts w:ascii="宋体" w:hAnsi="宋体" w:eastAsia="宋体"/>
          <w:sz w:val="24"/>
          <w:szCs w:val="24"/>
        </w:rPr>
        <w:t>GB/T 1.1-2020《标准化工作导则 第1部分：标准化文件的结构和起草规则》给出的规则起草。</w:t>
      </w:r>
      <w:r>
        <w:rPr>
          <w:rFonts w:hint="eastAsia" w:ascii="宋体" w:hAnsi="宋体" w:eastAsia="宋体"/>
          <w:sz w:val="24"/>
          <w:szCs w:val="24"/>
        </w:rPr>
        <w:t>标准编制遵循科学性、先进性和统一性原则，符合盐业企业发展需求，有利于推动行业技术进步，有利于提升产品质量水平。</w:t>
      </w:r>
    </w:p>
    <w:p w14:paraId="4666EF08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（二）标准制订的主要技术内容说明</w:t>
      </w:r>
    </w:p>
    <w:p w14:paraId="4AC3139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本标准依据食用盐高盐基质特性构建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酒石酸铁</w:t>
      </w:r>
      <w:r>
        <w:rPr>
          <w:rFonts w:ascii="宋体" w:hAnsi="宋体" w:eastAsia="宋体" w:cs="宋体"/>
          <w:sz w:val="24"/>
          <w:szCs w:val="24"/>
        </w:rPr>
        <w:t>完整测定流程，增设样品前处理步骤，以此消除高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钠</w:t>
      </w:r>
      <w:r>
        <w:rPr>
          <w:rFonts w:ascii="宋体" w:hAnsi="宋体" w:eastAsia="宋体" w:cs="宋体"/>
          <w:sz w:val="24"/>
          <w:szCs w:val="24"/>
        </w:rPr>
        <w:t>基质对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检测系统</w:t>
      </w:r>
      <w:r>
        <w:rPr>
          <w:rFonts w:ascii="宋体" w:hAnsi="宋体" w:eastAsia="宋体" w:cs="宋体"/>
          <w:sz w:val="24"/>
          <w:szCs w:val="24"/>
        </w:rPr>
        <w:t>产生的基质干扰，削弱盐分对组分分离及定量检测的干扰。</w:t>
      </w:r>
      <w:r>
        <w:rPr>
          <w:rFonts w:hint="eastAsia" w:ascii="宋体" w:hAnsi="宋体" w:eastAsia="宋体" w:cs="宋体"/>
          <w:sz w:val="24"/>
          <w:szCs w:val="24"/>
        </w:rPr>
        <w:t>在检测策略上，该方法采用间接定量方式测定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酒石酸铁</w:t>
      </w:r>
      <w:r>
        <w:rPr>
          <w:rFonts w:hint="eastAsia" w:ascii="宋体" w:hAnsi="宋体" w:eastAsia="宋体" w:cs="宋体"/>
          <w:sz w:val="24"/>
          <w:szCs w:val="24"/>
        </w:rPr>
        <w:t>含量，避免高盐原液直接进样，可显著减轻盐类结晶析出、管路腐蚀、盐分沉积等对液相色谱核心部件的损伤，有效降低仪器损耗及后期维护成本。在方法验证方面，整套检测流程经系统方法学验证，定量结果稳定可靠，检测数据的准确度与重复性良好，能够满足食用盐日常检验和监督抽检的技术判定要求。</w:t>
      </w:r>
    </w:p>
    <w:p w14:paraId="2A38C3F9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（三）解决的主要问题</w:t>
      </w:r>
    </w:p>
    <w:p w14:paraId="0C9D3026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GB 1886.381-2024《食品安全国家标准 食品添加剂 酒石酸铁》仅适用于酒石酸铁作为主含量的食品添加剂的测定，对食用盐样品没有做出特别规定。根据GB 2760-2024《食品安全国家标准 食品添加剂使用标准》要求，盐及代盐制品中酒石酸铁（以酒石酸铁计）最大使用量为106mg/kg，与作为主含的酒石酸铁的测定有很大不同。并且高盐分干扰检测，比如在液相中堵塞色谱柱，或者影响质谱峰信号。这时候需要优化前处理步骤，比如稀释、净化，或者用特定的萃取方法。由此可见，盐产品中酒石酸铁含量的检测难度较高，需要进行针对性研究，该项目正式对该检测方法的补充。</w:t>
      </w:r>
    </w:p>
    <w:p w14:paraId="200811E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GB 1886.381-2024检测方法选用单点校正的方法测定酒石酸铁含量，而且根据样品量再进行稀释或称量，检测方法相对繁琐。本项目选用合适的校准点形成标准曲线，更适用于盐样品的检测。</w:t>
      </w:r>
    </w:p>
    <w:p w14:paraId="27DCCE9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本项目适用于食用盐中酒石酸铁的测定。主要描述了食用盐中酒石酸铁检验的原理、试剂或材料、仪器设备、分析步骤、分析结果的表述、精密度、定量限等做出了明确规定。</w:t>
      </w:r>
    </w:p>
    <w:p w14:paraId="4076E70A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/>
          <w:b/>
          <w:bCs/>
          <w:sz w:val="24"/>
          <w:szCs w:val="24"/>
          <w:highlight w:val="none"/>
        </w:rPr>
        <w:t>三、主要试验（或验证）情况</w:t>
      </w:r>
    </w:p>
    <w:p w14:paraId="0F892A41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1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实验原理及波长选择</w:t>
      </w:r>
    </w:p>
    <w:p w14:paraId="1E31069A">
      <w:pPr>
        <w:pStyle w:val="3"/>
        <w:ind w:firstLine="48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依据GB 1886.381-2024标准中规定，酒石酸铁结构式</w:t>
      </w:r>
      <w:r>
        <w:drawing>
          <wp:inline distT="0" distB="0" distL="114300" distR="114300">
            <wp:extent cx="366395" cy="316865"/>
            <wp:effectExtent l="0" t="0" r="14605" b="698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39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分子式Fe(OH)</w:t>
      </w:r>
      <w:r>
        <w:rPr>
          <w:rFonts w:hint="eastAsia" w:ascii="宋体" w:hAnsi="宋体" w:eastAsia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/>
          <w:sz w:val="24"/>
          <w:szCs w:val="24"/>
          <w:vertAlign w:val="subscript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H</w:t>
      </w:r>
      <w:r>
        <w:rPr>
          <w:rFonts w:hint="eastAsia" w:ascii="宋体" w:hAnsi="宋体" w:eastAsia="宋体"/>
          <w:sz w:val="24"/>
          <w:szCs w:val="24"/>
          <w:vertAlign w:val="subscript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O</w:t>
      </w:r>
      <w:r>
        <w:rPr>
          <w:rFonts w:hint="eastAsia" w:ascii="宋体" w:hAnsi="宋体" w:eastAsia="宋体"/>
          <w:sz w:val="24"/>
          <w:szCs w:val="24"/>
          <w:vertAlign w:val="subscript"/>
          <w:lang w:val="en-US" w:eastAsia="zh-CN"/>
        </w:rPr>
        <w:t>6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Na,相对分子质量260.92。酒石酸铁与过量氢氧化物反应分解后，以硫酸溶液作为流动相，以酒石酸为标准物质，定量检测酒石酸的含量。因GB 2760-2024中规定应以酒石酸铁计，因此本项目定量检测酒石酸后再按照系数折算为酒石酸铁，利于行业控制添加量。</w:t>
      </w:r>
    </w:p>
    <w:p w14:paraId="573E7769">
      <w:pPr>
        <w:pStyle w:val="3"/>
        <w:ind w:firstLine="480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经过查阅文献、标准等作为参考，配制标准溶液并进行全波长扫描，确定最佳吸收波长。如图1可知最佳波长为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200~215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nm。</w:t>
      </w:r>
    </w:p>
    <w:p w14:paraId="67D07955">
      <w:pPr>
        <w:pStyle w:val="3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drawing>
          <wp:inline distT="0" distB="0" distL="114300" distR="114300">
            <wp:extent cx="5268595" cy="2795270"/>
            <wp:effectExtent l="0" t="0" r="8255" b="5080"/>
            <wp:docPr id="3" name="图片 3" descr="Cap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aptur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E8B8B">
      <w:pPr>
        <w:pStyle w:val="3"/>
        <w:ind w:firstLine="480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图1 波长扫描图</w:t>
      </w:r>
    </w:p>
    <w:p w14:paraId="6ED2FDA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3.2 </w:t>
      </w:r>
      <w:r>
        <w:rPr>
          <w:rFonts w:hint="eastAsia" w:ascii="宋体" w:hAnsi="宋体" w:eastAsia="宋体"/>
          <w:sz w:val="24"/>
          <w:szCs w:val="24"/>
        </w:rPr>
        <w:t>检出限、定量限</w:t>
      </w:r>
    </w:p>
    <w:p w14:paraId="768E4F3B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根据GB/T 27417-2017《化学分析方法确认和验证指南》，本标准采用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信噪比</w:t>
      </w:r>
      <w:r>
        <w:rPr>
          <w:rFonts w:hint="eastAsia" w:ascii="宋体" w:hAnsi="宋体" w:eastAsia="宋体"/>
          <w:sz w:val="24"/>
          <w:szCs w:val="24"/>
        </w:rPr>
        <w:t>评估检出限。利用已知低浓度的分析物样品与空白样品的测量信号进行比较，确定能够可靠检出的最小浓度</w:t>
      </w:r>
      <w:r>
        <w:rPr>
          <w:rFonts w:hint="eastAsia" w:ascii="宋体" w:hAnsi="宋体" w:eastAsia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</w:rPr>
        <w:t>典型的可接受的信噪比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是</w:t>
      </w:r>
      <w:r>
        <w:rPr>
          <w:rFonts w:hint="eastAsia" w:ascii="宋体" w:hAnsi="宋体" w:eastAsia="宋体"/>
          <w:sz w:val="24"/>
          <w:szCs w:val="24"/>
        </w:rPr>
        <w:t>3:1。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如图2所示为酒石酸浓度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0.5m</w:t>
      </w:r>
      <w:r>
        <w:rPr>
          <w:rFonts w:hint="eastAsia" w:ascii="宋体" w:hAnsi="宋体" w:eastAsia="宋体"/>
          <w:sz w:val="24"/>
          <w:szCs w:val="24"/>
          <w:highlight w:val="none"/>
        </w:rPr>
        <w:t>g/L</w:t>
      </w:r>
      <w:r>
        <w:rPr>
          <w:rFonts w:hint="eastAsia" w:ascii="宋体" w:hAnsi="宋体" w:eastAsia="宋体"/>
          <w:sz w:val="24"/>
          <w:szCs w:val="24"/>
          <w:lang w:eastAsia="zh-CN"/>
        </w:rPr>
        <w:t>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色谱图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可见信噪比为3.5，满足</w:t>
      </w:r>
      <w:r>
        <w:rPr>
          <w:rFonts w:hint="eastAsia" w:ascii="宋体" w:hAnsi="宋体" w:eastAsia="宋体"/>
          <w:sz w:val="24"/>
          <w:szCs w:val="24"/>
        </w:rPr>
        <w:t>GB/T 27417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此方法检出限为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0.5m</w:t>
      </w:r>
      <w:r>
        <w:rPr>
          <w:rFonts w:hint="eastAsia" w:ascii="宋体" w:hAnsi="宋体" w:eastAsia="宋体"/>
          <w:sz w:val="24"/>
          <w:szCs w:val="24"/>
          <w:highlight w:val="none"/>
        </w:rPr>
        <w:t>g/L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定量限为3倍检出限1.5mg/L</w:t>
      </w:r>
      <w:r>
        <w:rPr>
          <w:rFonts w:hint="eastAsia" w:ascii="宋体" w:hAnsi="宋体" w:eastAsia="宋体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样品检测过程为称取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g样品，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经10mL浓盐酸提取</w:t>
      </w:r>
      <w:r>
        <w:rPr>
          <w:rFonts w:hint="eastAsia" w:ascii="宋体" w:hAnsi="宋体" w:eastAsia="宋体"/>
          <w:sz w:val="24"/>
          <w:szCs w:val="24"/>
          <w:highlight w:val="none"/>
        </w:rPr>
        <w:t>，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稀释10倍，酒石酸转化为酒石酸铁的换算系数为1.762，</w:t>
      </w:r>
      <w:r>
        <w:rPr>
          <w:rFonts w:hint="eastAsia" w:ascii="宋体" w:hAnsi="宋体" w:eastAsia="宋体"/>
          <w:sz w:val="24"/>
          <w:szCs w:val="24"/>
          <w:highlight w:val="none"/>
        </w:rPr>
        <w:t>所以方法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检出限</w:t>
      </w:r>
      <w:r>
        <w:rPr>
          <w:rFonts w:hint="eastAsia" w:ascii="宋体" w:hAnsi="宋体" w:eastAsia="宋体"/>
          <w:sz w:val="24"/>
          <w:szCs w:val="24"/>
          <w:highlight w:val="none"/>
        </w:rPr>
        <w:t>为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9mg/kg</w:t>
      </w:r>
      <w:r>
        <w:rPr>
          <w:rFonts w:hint="eastAsia" w:ascii="宋体" w:hAnsi="宋体" w:eastAsia="宋体"/>
          <w:sz w:val="24"/>
          <w:szCs w:val="24"/>
          <w:highlight w:val="none"/>
        </w:rPr>
        <w:t>。</w:t>
      </w:r>
    </w:p>
    <w:p w14:paraId="3D06B458">
      <w:pPr>
        <w:pStyle w:val="3"/>
        <w:jc w:val="center"/>
        <w:rPr>
          <w:rFonts w:hint="eastAsia" w:eastAsia="宋体"/>
          <w:lang w:eastAsia="zh-CN"/>
        </w:rPr>
      </w:pPr>
      <w:r>
        <w:drawing>
          <wp:inline distT="0" distB="0" distL="0" distR="0">
            <wp:extent cx="5943600" cy="3924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6B918">
      <w:pPr>
        <w:pStyle w:val="3"/>
        <w:ind w:firstLine="480"/>
        <w:jc w:val="center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图2  0.5mg/L的酒石酸色谱图</w:t>
      </w:r>
    </w:p>
    <w:p w14:paraId="146FB34A">
      <w:p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标准曲线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及线性范围</w:t>
      </w:r>
    </w:p>
    <w:p w14:paraId="53DAF71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标准起草工作组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选取了0、</w:t>
      </w:r>
      <w:r>
        <w:rPr>
          <w:rFonts w:hint="eastAsia" w:ascii="宋体" w:hAnsi="宋体" w:eastAsia="宋体"/>
          <w:sz w:val="24"/>
          <w:szCs w:val="24"/>
        </w:rPr>
        <w:t>0.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mg/L、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mg/L、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mg/L、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mg/L、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mg/L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标准曲线点，分3天重新配制，</w:t>
      </w:r>
      <w:r>
        <w:rPr>
          <w:rFonts w:hint="eastAsia" w:ascii="宋体" w:hAnsi="宋体" w:eastAsia="宋体"/>
          <w:sz w:val="24"/>
          <w:szCs w:val="24"/>
        </w:rPr>
        <w:t>进行标准曲线测定。根据表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>可见，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曲线线性良好，</w:t>
      </w:r>
      <w:r>
        <w:rPr>
          <w:rFonts w:hint="eastAsia" w:ascii="宋体" w:hAnsi="宋体" w:eastAsia="宋体"/>
          <w:sz w:val="24"/>
          <w:szCs w:val="24"/>
        </w:rPr>
        <w:t>满足GB/T 27417-2017要求。</w:t>
      </w:r>
    </w:p>
    <w:p w14:paraId="02418DF5"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/>
          <w:sz w:val="24"/>
          <w:szCs w:val="24"/>
        </w:rPr>
        <w:t xml:space="preserve"> 标准曲线数据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795"/>
        <w:gridCol w:w="1328"/>
        <w:gridCol w:w="1328"/>
        <w:gridCol w:w="1337"/>
        <w:gridCol w:w="1329"/>
        <w:gridCol w:w="1364"/>
      </w:tblGrid>
      <w:tr w14:paraId="223A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4978F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浓度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Cs w:val="21"/>
              </w:rPr>
              <w:t>g/L</w:t>
            </w:r>
          </w:p>
        </w:tc>
        <w:tc>
          <w:tcPr>
            <w:tcW w:w="467" w:type="pct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63DAB8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</w:t>
            </w:r>
          </w:p>
        </w:tc>
        <w:tc>
          <w:tcPr>
            <w:tcW w:w="780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0809D81B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0.5</w:t>
            </w:r>
          </w:p>
        </w:tc>
        <w:tc>
          <w:tcPr>
            <w:tcW w:w="780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0DB18B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84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C7F9A0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80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CA258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00" w:type="pct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CB67F44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 w14:paraId="2DC4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06" w:type="pct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</w:tcPr>
          <w:p w14:paraId="2533C27E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467" w:type="pc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4482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0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D69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t>3.5</w:t>
            </w:r>
            <w:r>
              <w:rPr>
                <w:rFonts w:hint="eastAsia"/>
                <w:lang w:val="en-US" w:eastAsia="zh-CN"/>
              </w:rPr>
              <w:t>57</w:t>
            </w:r>
            <w:r>
              <w:t>e+04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CCD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t>1.211e+05</w:t>
            </w:r>
          </w:p>
        </w:tc>
        <w:tc>
          <w:tcPr>
            <w:tcW w:w="784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716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t>2.655e+05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FB0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t>6.497e+05</w:t>
            </w:r>
          </w:p>
        </w:tc>
        <w:tc>
          <w:tcPr>
            <w:tcW w:w="80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0BF26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t>1.415e+06</w:t>
            </w:r>
          </w:p>
        </w:tc>
      </w:tr>
      <w:tr w14:paraId="3F5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606" w:type="pc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088DF78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曲线1</w:t>
            </w:r>
          </w:p>
        </w:tc>
        <w:tc>
          <w:tcPr>
            <w:tcW w:w="2812" w:type="pct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5BEC3993">
            <w:pPr>
              <w:spacing w:line="360" w:lineRule="auto"/>
              <w:jc w:val="center"/>
              <w:rPr>
                <w:rFonts w:hint="eastAsia" w:ascii="等线" w:hAnsi="等线" w:eastAsia="等线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y = 142068x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/>
                <w:szCs w:val="21"/>
              </w:rPr>
              <w:t>23564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997C553">
            <w:pPr>
              <w:spacing w:line="360" w:lineRule="auto"/>
              <w:jc w:val="center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R</w:t>
            </w:r>
            <w:r>
              <w:rPr>
                <w:rFonts w:hint="eastAsia" w:ascii="等线" w:hAnsi="等线" w:eastAsia="等线"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42C6295F">
            <w:pPr>
              <w:spacing w:line="360" w:lineRule="auto"/>
              <w:jc w:val="center"/>
              <w:rPr>
                <w:rFonts w:hint="default" w:ascii="宋体" w:hAnsi="宋体" w:eastAsia="等线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0.99</w:t>
            </w:r>
            <w:r>
              <w:rPr>
                <w:rFonts w:hint="eastAsia" w:ascii="等线" w:hAnsi="等线" w:eastAsia="等线"/>
                <w:color w:val="000000"/>
                <w:szCs w:val="21"/>
                <w:lang w:val="en-US" w:eastAsia="zh-CN"/>
              </w:rPr>
              <w:t>84</w:t>
            </w:r>
          </w:p>
        </w:tc>
      </w:tr>
      <w:tr w14:paraId="3359B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</w:tcPr>
          <w:p w14:paraId="1A9F95C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467" w:type="pc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157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AF4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t>3.752e+04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844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t>1.068e+05</w:t>
            </w:r>
          </w:p>
        </w:tc>
        <w:tc>
          <w:tcPr>
            <w:tcW w:w="784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8EC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t>2.049e+05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926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5.713e+05</w:t>
            </w:r>
          </w:p>
        </w:tc>
        <w:tc>
          <w:tcPr>
            <w:tcW w:w="80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2419D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1.172e+06</w:t>
            </w:r>
          </w:p>
        </w:tc>
      </w:tr>
      <w:tr w14:paraId="641D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tcBorders>
              <w:left w:val="single" w:color="000000" w:sz="12" w:space="0"/>
              <w:right w:val="single" w:color="000000" w:sz="12" w:space="0"/>
            </w:tcBorders>
          </w:tcPr>
          <w:p w14:paraId="04EAB2E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曲线2</w:t>
            </w:r>
          </w:p>
        </w:tc>
        <w:tc>
          <w:tcPr>
            <w:tcW w:w="2812" w:type="pct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DC4A40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y = 118291x - 15979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4A1B1A0D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R</w:t>
            </w:r>
            <w:r>
              <w:rPr>
                <w:rFonts w:hint="eastAsia" w:ascii="等线" w:hAnsi="等线" w:eastAsia="等线"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4596FB99">
            <w:pPr>
              <w:spacing w:line="360" w:lineRule="auto"/>
              <w:jc w:val="center"/>
              <w:rPr>
                <w:rFonts w:hint="eastAsia" w:ascii="宋体" w:hAnsi="宋体" w:eastAsia="等线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0.99</w:t>
            </w:r>
            <w:r>
              <w:rPr>
                <w:rFonts w:hint="eastAsia" w:ascii="等线" w:hAnsi="等线" w:eastAsia="等线"/>
                <w:color w:val="000000"/>
                <w:szCs w:val="21"/>
                <w:lang w:val="en-US" w:eastAsia="zh-CN"/>
              </w:rPr>
              <w:t>94</w:t>
            </w:r>
          </w:p>
        </w:tc>
      </w:tr>
      <w:tr w14:paraId="740A1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tcBorders>
              <w:left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 w14:paraId="2AB8FA91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467" w:type="pc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90E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A12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3.438e+4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4B8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1.116e+05</w:t>
            </w:r>
          </w:p>
        </w:tc>
        <w:tc>
          <w:tcPr>
            <w:tcW w:w="784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6C3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2.179e+05</w:t>
            </w:r>
          </w:p>
        </w:tc>
        <w:tc>
          <w:tcPr>
            <w:tcW w:w="78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075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6.781e+05</w:t>
            </w:r>
          </w:p>
        </w:tc>
        <w:tc>
          <w:tcPr>
            <w:tcW w:w="800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D95C0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1.439e+06</w:t>
            </w:r>
          </w:p>
        </w:tc>
      </w:tr>
      <w:tr w14:paraId="39578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pct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top"/>
          </w:tcPr>
          <w:p w14:paraId="07820539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曲线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</w:p>
        </w:tc>
        <w:tc>
          <w:tcPr>
            <w:tcW w:w="2812" w:type="pct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CA212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y =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146095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x -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36946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37D13047">
            <w:pPr>
              <w:spacing w:line="360" w:lineRule="auto"/>
              <w:jc w:val="center"/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R</w:t>
            </w:r>
            <w:r>
              <w:rPr>
                <w:rFonts w:hint="eastAsia" w:ascii="等线" w:hAnsi="等线" w:eastAsia="等线"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 w14:paraId="39189FDD">
            <w:pPr>
              <w:spacing w:line="360" w:lineRule="auto"/>
              <w:jc w:val="center"/>
              <w:rPr>
                <w:rFonts w:hint="default" w:ascii="宋体" w:hAnsi="宋体" w:eastAsia="等线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</w:rPr>
              <w:t>0.99</w:t>
            </w:r>
            <w:r>
              <w:rPr>
                <w:rFonts w:hint="eastAsia" w:ascii="等线" w:hAnsi="等线" w:eastAsia="等线"/>
                <w:color w:val="000000"/>
                <w:szCs w:val="21"/>
                <w:lang w:val="en-US" w:eastAsia="zh-CN"/>
              </w:rPr>
              <w:t>79</w:t>
            </w:r>
          </w:p>
        </w:tc>
      </w:tr>
    </w:tbl>
    <w:p w14:paraId="2E62533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精密度与正确度</w:t>
      </w:r>
    </w:p>
    <w:p w14:paraId="74CD30D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通过</w:t>
      </w:r>
      <w:r>
        <w:rPr>
          <w:rFonts w:hint="eastAsia" w:ascii="宋体" w:hAnsi="宋体" w:eastAsia="宋体"/>
          <w:sz w:val="24"/>
          <w:szCs w:val="24"/>
        </w:rPr>
        <w:t>加标回收率试验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确认正确度，通过RSD认证精密度。分别</w:t>
      </w:r>
      <w:r>
        <w:rPr>
          <w:rFonts w:hint="eastAsia" w:ascii="宋体" w:hAnsi="宋体" w:eastAsia="宋体"/>
          <w:sz w:val="24"/>
          <w:szCs w:val="24"/>
        </w:rPr>
        <w:t>加入标准物质浓度分别是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定量限</w:t>
      </w:r>
      <w:r>
        <w:rPr>
          <w:rFonts w:hint="eastAsia" w:ascii="宋体" w:hAnsi="宋体" w:eastAsia="宋体"/>
          <w:sz w:val="24"/>
          <w:szCs w:val="24"/>
        </w:rPr>
        <w:t>的1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.2</w:t>
      </w:r>
      <w:r>
        <w:rPr>
          <w:rFonts w:hint="eastAsia" w:ascii="宋体" w:hAnsi="宋体" w:eastAsia="宋体"/>
          <w:sz w:val="24"/>
          <w:szCs w:val="24"/>
        </w:rPr>
        <w:t>倍、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2.5倍、3</w:t>
      </w:r>
      <w:r>
        <w:rPr>
          <w:rFonts w:hint="eastAsia" w:ascii="宋体" w:hAnsi="宋体" w:eastAsia="宋体"/>
          <w:sz w:val="24"/>
          <w:szCs w:val="24"/>
        </w:rPr>
        <w:t>倍，检测结果见表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。回收率在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96.2</w:t>
      </w:r>
      <w:r>
        <w:rPr>
          <w:rFonts w:hint="eastAsia" w:ascii="宋体" w:hAnsi="宋体" w:eastAsia="宋体"/>
          <w:sz w:val="24"/>
          <w:szCs w:val="24"/>
        </w:rPr>
        <w:t>%</w:t>
      </w:r>
      <w:r>
        <w:rPr>
          <w:rFonts w:ascii="Times New Roman" w:hAnsi="Times New Roman" w:eastAsia="宋体" w:cs="Times New Roman"/>
          <w:sz w:val="24"/>
          <w:szCs w:val="24"/>
        </w:rPr>
        <w:t>~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107.0</w:t>
      </w:r>
      <w:r>
        <w:rPr>
          <w:rFonts w:hint="eastAsia" w:ascii="宋体" w:hAnsi="宋体" w:eastAsia="宋体"/>
          <w:sz w:val="24"/>
          <w:szCs w:val="24"/>
        </w:rPr>
        <w:t>%之间，RSD在1.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98</w:t>
      </w:r>
      <w:r>
        <w:rPr>
          <w:rFonts w:hint="eastAsia" w:ascii="宋体" w:hAnsi="宋体" w:eastAsia="宋体"/>
          <w:sz w:val="24"/>
          <w:szCs w:val="24"/>
        </w:rPr>
        <w:t>%</w:t>
      </w:r>
      <w:r>
        <w:rPr>
          <w:rFonts w:ascii="Times New Roman" w:hAnsi="Times New Roman" w:eastAsia="宋体" w:cs="Times New Roman"/>
          <w:sz w:val="24"/>
          <w:szCs w:val="24"/>
        </w:rPr>
        <w:t>~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3.67</w:t>
      </w:r>
      <w:r>
        <w:rPr>
          <w:rFonts w:hint="eastAsia" w:ascii="宋体" w:hAnsi="宋体" w:eastAsia="宋体"/>
          <w:sz w:val="24"/>
          <w:szCs w:val="24"/>
        </w:rPr>
        <w:t>%之间。均满足GB/T 27417-2017的要求。</w:t>
      </w:r>
    </w:p>
    <w:p w14:paraId="13988EF6"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 xml:space="preserve"> 精密度和正确度验证数据</w:t>
      </w:r>
    </w:p>
    <w:tbl>
      <w:tblPr>
        <w:tblStyle w:val="7"/>
        <w:tblW w:w="11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756"/>
        <w:gridCol w:w="1136"/>
        <w:gridCol w:w="1136"/>
        <w:gridCol w:w="1136"/>
        <w:gridCol w:w="1136"/>
        <w:gridCol w:w="1136"/>
        <w:gridCol w:w="1136"/>
        <w:gridCol w:w="1136"/>
        <w:gridCol w:w="1138"/>
        <w:gridCol w:w="1010"/>
      </w:tblGrid>
      <w:tr w14:paraId="2E721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418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vAlign w:val="center"/>
          </w:tcPr>
          <w:p w14:paraId="3A65A6A6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编号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2B2251A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36DD7D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765223F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6B587094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7B3BD9C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1D697A38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1136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5D647053">
            <w:pPr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1138" w:type="dxa"/>
            <w:tcBorders>
              <w:top w:val="single" w:color="000000" w:sz="12" w:space="0"/>
              <w:bottom w:val="single" w:color="000000" w:sz="12" w:space="0"/>
            </w:tcBorders>
            <w:vAlign w:val="center"/>
          </w:tcPr>
          <w:p w14:paraId="4CF6303D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平均值</w:t>
            </w:r>
          </w:p>
        </w:tc>
        <w:tc>
          <w:tcPr>
            <w:tcW w:w="1010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</w:tcPr>
          <w:p w14:paraId="14605EBB">
            <w:pPr>
              <w:spacing w:line="360" w:lineRule="auto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RSD%</w:t>
            </w:r>
          </w:p>
        </w:tc>
      </w:tr>
      <w:tr w14:paraId="069C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dxa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vAlign w:val="center"/>
          </w:tcPr>
          <w:p w14:paraId="7B61642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加标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/>
                <w:szCs w:val="21"/>
              </w:rPr>
              <w:t>mg/L</w:t>
            </w:r>
          </w:p>
        </w:tc>
        <w:tc>
          <w:tcPr>
            <w:tcW w:w="756" w:type="dxa"/>
            <w:tcBorders>
              <w:top w:val="single" w:color="000000" w:sz="12" w:space="0"/>
              <w:left w:val="single" w:color="000000" w:sz="4" w:space="0"/>
            </w:tcBorders>
            <w:vAlign w:val="center"/>
          </w:tcPr>
          <w:p w14:paraId="21A4D45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661AD4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15879B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1.96E+05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61CBBF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402386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1.92E+05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4BD1E0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2.06E+05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4A46CA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1.98E+05</w:t>
            </w:r>
          </w:p>
        </w:tc>
        <w:tc>
          <w:tcPr>
            <w:tcW w:w="1136" w:type="dxa"/>
            <w:tcBorders>
              <w:top w:val="single" w:color="000000" w:sz="12" w:space="0"/>
            </w:tcBorders>
            <w:vAlign w:val="center"/>
          </w:tcPr>
          <w:p w14:paraId="521615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1.95E+05</w:t>
            </w:r>
          </w:p>
        </w:tc>
        <w:tc>
          <w:tcPr>
            <w:tcW w:w="1138" w:type="dxa"/>
            <w:tcBorders>
              <w:top w:val="single" w:color="000000" w:sz="12" w:space="0"/>
            </w:tcBorders>
            <w:vAlign w:val="center"/>
          </w:tcPr>
          <w:p w14:paraId="0B2EEF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1.98E+05</w:t>
            </w:r>
          </w:p>
        </w:tc>
        <w:tc>
          <w:tcPr>
            <w:tcW w:w="1010" w:type="dxa"/>
            <w:vMerge w:val="restart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0BE69C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3.67</w:t>
            </w:r>
          </w:p>
        </w:tc>
      </w:tr>
      <w:tr w14:paraId="55132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53FF8C4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tcBorders>
              <w:left w:val="single" w:color="000000" w:sz="4" w:space="0"/>
            </w:tcBorders>
            <w:vAlign w:val="center"/>
          </w:tcPr>
          <w:p w14:paraId="60A4F42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浓度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Cs w:val="21"/>
              </w:rPr>
              <w:t>g/L</w:t>
            </w:r>
          </w:p>
        </w:tc>
        <w:tc>
          <w:tcPr>
            <w:tcW w:w="1136" w:type="dxa"/>
            <w:vAlign w:val="center"/>
          </w:tcPr>
          <w:p w14:paraId="01F294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1.731</w:t>
            </w:r>
          </w:p>
        </w:tc>
        <w:tc>
          <w:tcPr>
            <w:tcW w:w="1136" w:type="dxa"/>
            <w:vAlign w:val="center"/>
          </w:tcPr>
          <w:p w14:paraId="7BDA39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1.790</w:t>
            </w:r>
          </w:p>
        </w:tc>
        <w:tc>
          <w:tcPr>
            <w:tcW w:w="1136" w:type="dxa"/>
            <w:vAlign w:val="center"/>
          </w:tcPr>
          <w:p w14:paraId="0866AF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/>
                <w:sz w:val="20"/>
                <w:szCs w:val="2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36" w:type="dxa"/>
            <w:vAlign w:val="center"/>
          </w:tcPr>
          <w:p w14:paraId="7F4CB5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1.757</w:t>
            </w:r>
          </w:p>
        </w:tc>
        <w:tc>
          <w:tcPr>
            <w:tcW w:w="1136" w:type="dxa"/>
            <w:vAlign w:val="center"/>
          </w:tcPr>
          <w:p w14:paraId="170BD6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1.877</w:t>
            </w:r>
          </w:p>
        </w:tc>
        <w:tc>
          <w:tcPr>
            <w:tcW w:w="1136" w:type="dxa"/>
            <w:vAlign w:val="center"/>
          </w:tcPr>
          <w:p w14:paraId="40E4C4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1.809</w:t>
            </w:r>
          </w:p>
        </w:tc>
        <w:tc>
          <w:tcPr>
            <w:tcW w:w="1136" w:type="dxa"/>
            <w:vAlign w:val="center"/>
          </w:tcPr>
          <w:p w14:paraId="3D8293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/>
                <w:sz w:val="20"/>
                <w:szCs w:val="2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1.783</w:t>
            </w:r>
          </w:p>
        </w:tc>
        <w:tc>
          <w:tcPr>
            <w:tcW w:w="1138" w:type="dxa"/>
            <w:vAlign w:val="center"/>
          </w:tcPr>
          <w:p w14:paraId="6F7890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1.812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</w:tcPr>
          <w:p w14:paraId="3699B9A2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007AD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2AE1DDC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tcBorders>
              <w:left w:val="single" w:color="000000" w:sz="4" w:space="0"/>
            </w:tcBorders>
            <w:vAlign w:val="center"/>
          </w:tcPr>
          <w:p w14:paraId="3D84CB0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回收率</w:t>
            </w:r>
            <w:r>
              <w:rPr>
                <w:rFonts w:hint="eastAsia" w:ascii="宋体" w:hAnsi="宋体" w:eastAsia="宋体"/>
                <w:szCs w:val="21"/>
              </w:rPr>
              <w:t>%</w:t>
            </w:r>
          </w:p>
        </w:tc>
        <w:tc>
          <w:tcPr>
            <w:tcW w:w="1136" w:type="dxa"/>
            <w:vAlign w:val="center"/>
          </w:tcPr>
          <w:p w14:paraId="2B3FEE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96.17</w:t>
            </w:r>
          </w:p>
        </w:tc>
        <w:tc>
          <w:tcPr>
            <w:tcW w:w="1136" w:type="dxa"/>
            <w:vAlign w:val="center"/>
          </w:tcPr>
          <w:p w14:paraId="4B33A0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99.46</w:t>
            </w:r>
          </w:p>
        </w:tc>
        <w:tc>
          <w:tcPr>
            <w:tcW w:w="1136" w:type="dxa"/>
            <w:vAlign w:val="center"/>
          </w:tcPr>
          <w:p w14:paraId="288FEE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106.60</w:t>
            </w:r>
          </w:p>
        </w:tc>
        <w:tc>
          <w:tcPr>
            <w:tcW w:w="1136" w:type="dxa"/>
            <w:vAlign w:val="center"/>
          </w:tcPr>
          <w:p w14:paraId="72BD18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97.63</w:t>
            </w:r>
          </w:p>
        </w:tc>
        <w:tc>
          <w:tcPr>
            <w:tcW w:w="1136" w:type="dxa"/>
            <w:vAlign w:val="center"/>
          </w:tcPr>
          <w:p w14:paraId="6299BE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104.30</w:t>
            </w:r>
          </w:p>
        </w:tc>
        <w:tc>
          <w:tcPr>
            <w:tcW w:w="1136" w:type="dxa"/>
            <w:vAlign w:val="center"/>
          </w:tcPr>
          <w:p w14:paraId="33E8A3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100.50</w:t>
            </w:r>
          </w:p>
        </w:tc>
        <w:tc>
          <w:tcPr>
            <w:tcW w:w="1136" w:type="dxa"/>
            <w:vAlign w:val="center"/>
          </w:tcPr>
          <w:p w14:paraId="5BC7AE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99.04</w:t>
            </w:r>
          </w:p>
        </w:tc>
        <w:tc>
          <w:tcPr>
            <w:tcW w:w="1138" w:type="dxa"/>
            <w:vAlign w:val="center"/>
          </w:tcPr>
          <w:p w14:paraId="56A0AC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100.65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</w:tcPr>
          <w:p w14:paraId="1909E7C0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7A25E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4B6F3B1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56" w:type="dxa"/>
            <w:gridSpan w:val="10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189F7FDE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0.188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，是算术平均值的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10.37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%。</w:t>
            </w:r>
          </w:p>
        </w:tc>
      </w:tr>
      <w:tr w14:paraId="733F2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662" w:type="dxa"/>
            <w:vMerge w:val="restart"/>
            <w:tcBorders>
              <w:left w:val="single" w:color="000000" w:sz="12" w:space="0"/>
            </w:tcBorders>
            <w:vAlign w:val="center"/>
          </w:tcPr>
          <w:p w14:paraId="6ACF78E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加标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3.75</w:t>
            </w:r>
            <w:r>
              <w:rPr>
                <w:rFonts w:hint="eastAsia" w:ascii="宋体" w:hAnsi="宋体" w:eastAsia="宋体"/>
                <w:szCs w:val="21"/>
              </w:rPr>
              <w:t>mg/L</w:t>
            </w:r>
          </w:p>
        </w:tc>
        <w:tc>
          <w:tcPr>
            <w:tcW w:w="756" w:type="dxa"/>
            <w:vAlign w:val="center"/>
          </w:tcPr>
          <w:p w14:paraId="1657EE8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1136" w:type="dxa"/>
            <w:vAlign w:val="center"/>
          </w:tcPr>
          <w:p w14:paraId="0F5640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4.32E+05</w:t>
            </w:r>
          </w:p>
        </w:tc>
        <w:tc>
          <w:tcPr>
            <w:tcW w:w="1136" w:type="dxa"/>
            <w:vAlign w:val="center"/>
          </w:tcPr>
          <w:p w14:paraId="6F92A4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4.53E+05</w:t>
            </w:r>
          </w:p>
        </w:tc>
        <w:tc>
          <w:tcPr>
            <w:tcW w:w="1136" w:type="dxa"/>
            <w:vAlign w:val="center"/>
          </w:tcPr>
          <w:p w14:paraId="786A2F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4.40E+05</w:t>
            </w:r>
          </w:p>
        </w:tc>
        <w:tc>
          <w:tcPr>
            <w:tcW w:w="1136" w:type="dxa"/>
            <w:vAlign w:val="center"/>
          </w:tcPr>
          <w:p w14:paraId="745F35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4.27E+05</w:t>
            </w:r>
          </w:p>
        </w:tc>
        <w:tc>
          <w:tcPr>
            <w:tcW w:w="1136" w:type="dxa"/>
            <w:vAlign w:val="center"/>
          </w:tcPr>
          <w:p w14:paraId="7C4BAE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4.39E+05</w:t>
            </w:r>
          </w:p>
        </w:tc>
        <w:tc>
          <w:tcPr>
            <w:tcW w:w="1136" w:type="dxa"/>
            <w:vAlign w:val="center"/>
          </w:tcPr>
          <w:p w14:paraId="40B9EB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4.42E+05</w:t>
            </w:r>
          </w:p>
        </w:tc>
        <w:tc>
          <w:tcPr>
            <w:tcW w:w="1136" w:type="dxa"/>
            <w:vAlign w:val="center"/>
          </w:tcPr>
          <w:p w14:paraId="388DB1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4.59E+05</w:t>
            </w:r>
          </w:p>
        </w:tc>
        <w:tc>
          <w:tcPr>
            <w:tcW w:w="1138" w:type="dxa"/>
            <w:vAlign w:val="center"/>
          </w:tcPr>
          <w:p w14:paraId="663182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4.42E+05</w:t>
            </w:r>
          </w:p>
        </w:tc>
        <w:tc>
          <w:tcPr>
            <w:tcW w:w="1010" w:type="dxa"/>
            <w:vMerge w:val="restart"/>
            <w:tcBorders>
              <w:right w:val="single" w:color="000000" w:sz="12" w:space="0"/>
            </w:tcBorders>
            <w:vAlign w:val="center"/>
          </w:tcPr>
          <w:p w14:paraId="09F89CA4">
            <w:pPr>
              <w:spacing w:line="360" w:lineRule="auto"/>
              <w:jc w:val="center"/>
              <w:rPr>
                <w:rFonts w:hint="default" w:ascii="等线" w:hAnsi="等线" w:eastAsia="等线"/>
                <w:color w:val="00000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  <w:lang w:val="en-US" w:eastAsia="zh-CN"/>
              </w:rPr>
              <w:t>2.46</w:t>
            </w:r>
          </w:p>
        </w:tc>
      </w:tr>
      <w:tr w14:paraId="76D9B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</w:tcBorders>
            <w:vAlign w:val="center"/>
          </w:tcPr>
          <w:p w14:paraId="188255B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F732C9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浓度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Cs w:val="21"/>
              </w:rPr>
              <w:t>g/L</w:t>
            </w:r>
          </w:p>
        </w:tc>
        <w:tc>
          <w:tcPr>
            <w:tcW w:w="1136" w:type="dxa"/>
            <w:vAlign w:val="center"/>
          </w:tcPr>
          <w:p w14:paraId="322815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3.783</w:t>
            </w:r>
          </w:p>
        </w:tc>
        <w:tc>
          <w:tcPr>
            <w:tcW w:w="1136" w:type="dxa"/>
            <w:vAlign w:val="center"/>
          </w:tcPr>
          <w:p w14:paraId="0187B2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3.967</w:t>
            </w:r>
          </w:p>
        </w:tc>
        <w:tc>
          <w:tcPr>
            <w:tcW w:w="1136" w:type="dxa"/>
            <w:vAlign w:val="center"/>
          </w:tcPr>
          <w:p w14:paraId="627F78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3.857</w:t>
            </w:r>
          </w:p>
        </w:tc>
        <w:tc>
          <w:tcPr>
            <w:tcW w:w="1136" w:type="dxa"/>
            <w:vAlign w:val="center"/>
          </w:tcPr>
          <w:p w14:paraId="23F4EE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3.742</w:t>
            </w:r>
          </w:p>
        </w:tc>
        <w:tc>
          <w:tcPr>
            <w:tcW w:w="1136" w:type="dxa"/>
            <w:vAlign w:val="center"/>
          </w:tcPr>
          <w:p w14:paraId="22CE9D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3.850</w:t>
            </w:r>
          </w:p>
        </w:tc>
        <w:tc>
          <w:tcPr>
            <w:tcW w:w="1136" w:type="dxa"/>
            <w:vAlign w:val="center"/>
          </w:tcPr>
          <w:p w14:paraId="6ACCFB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3.872</w:t>
            </w:r>
          </w:p>
        </w:tc>
        <w:tc>
          <w:tcPr>
            <w:tcW w:w="1136" w:type="dxa"/>
            <w:vAlign w:val="center"/>
          </w:tcPr>
          <w:p w14:paraId="7EF19B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4.014</w:t>
            </w:r>
          </w:p>
        </w:tc>
        <w:tc>
          <w:tcPr>
            <w:tcW w:w="1138" w:type="dxa"/>
            <w:vAlign w:val="center"/>
          </w:tcPr>
          <w:p w14:paraId="7C05D8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3.869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  <w:vAlign w:val="center"/>
          </w:tcPr>
          <w:p w14:paraId="23FB4E6B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0AB8C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</w:tcBorders>
            <w:vAlign w:val="center"/>
          </w:tcPr>
          <w:p w14:paraId="2FFDD03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49399A5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回收率%</w:t>
            </w:r>
          </w:p>
        </w:tc>
        <w:tc>
          <w:tcPr>
            <w:tcW w:w="1136" w:type="dxa"/>
            <w:vAlign w:val="center"/>
          </w:tcPr>
          <w:p w14:paraId="6B0D93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100.88</w:t>
            </w:r>
          </w:p>
        </w:tc>
        <w:tc>
          <w:tcPr>
            <w:tcW w:w="1136" w:type="dxa"/>
            <w:vAlign w:val="center"/>
          </w:tcPr>
          <w:p w14:paraId="7C025E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105.79</w:t>
            </w:r>
          </w:p>
        </w:tc>
        <w:tc>
          <w:tcPr>
            <w:tcW w:w="1136" w:type="dxa"/>
            <w:vAlign w:val="center"/>
          </w:tcPr>
          <w:p w14:paraId="653C58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102.86</w:t>
            </w:r>
          </w:p>
        </w:tc>
        <w:tc>
          <w:tcPr>
            <w:tcW w:w="1136" w:type="dxa"/>
            <w:vAlign w:val="center"/>
          </w:tcPr>
          <w:p w14:paraId="25E81D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99.79</w:t>
            </w:r>
          </w:p>
        </w:tc>
        <w:tc>
          <w:tcPr>
            <w:tcW w:w="1136" w:type="dxa"/>
            <w:vAlign w:val="center"/>
          </w:tcPr>
          <w:p w14:paraId="325C26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102.66</w:t>
            </w:r>
          </w:p>
        </w:tc>
        <w:tc>
          <w:tcPr>
            <w:tcW w:w="1136" w:type="dxa"/>
            <w:vAlign w:val="center"/>
          </w:tcPr>
          <w:p w14:paraId="28961C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103.27</w:t>
            </w:r>
          </w:p>
        </w:tc>
        <w:tc>
          <w:tcPr>
            <w:tcW w:w="1136" w:type="dxa"/>
            <w:vAlign w:val="center"/>
          </w:tcPr>
          <w:p w14:paraId="4035D0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107.03</w:t>
            </w:r>
          </w:p>
        </w:tc>
        <w:tc>
          <w:tcPr>
            <w:tcW w:w="1138" w:type="dxa"/>
            <w:vAlign w:val="center"/>
          </w:tcPr>
          <w:p w14:paraId="66A16B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103.18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  <w:vAlign w:val="center"/>
          </w:tcPr>
          <w:p w14:paraId="38A932D4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12EB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</w:tcBorders>
            <w:vAlign w:val="center"/>
          </w:tcPr>
          <w:p w14:paraId="66A7067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56" w:type="dxa"/>
            <w:gridSpan w:val="10"/>
            <w:tcBorders>
              <w:right w:val="single" w:color="000000" w:sz="12" w:space="0"/>
            </w:tcBorders>
            <w:vAlign w:val="center"/>
          </w:tcPr>
          <w:p w14:paraId="7551DE5A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0.271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，是算术平均值的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7.01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%。</w:t>
            </w:r>
          </w:p>
        </w:tc>
      </w:tr>
      <w:tr w14:paraId="493BE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62" w:type="dxa"/>
            <w:vMerge w:val="restart"/>
            <w:tcBorders>
              <w:left w:val="single" w:color="000000" w:sz="12" w:space="0"/>
            </w:tcBorders>
            <w:vAlign w:val="center"/>
          </w:tcPr>
          <w:p w14:paraId="517D943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加标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4.5</w:t>
            </w:r>
            <w:r>
              <w:rPr>
                <w:rFonts w:hint="eastAsia" w:ascii="宋体" w:hAnsi="宋体" w:eastAsia="宋体"/>
                <w:szCs w:val="21"/>
              </w:rPr>
              <w:t>mg/L</w:t>
            </w:r>
          </w:p>
        </w:tc>
        <w:tc>
          <w:tcPr>
            <w:tcW w:w="756" w:type="dxa"/>
            <w:vAlign w:val="center"/>
          </w:tcPr>
          <w:p w14:paraId="1E70926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强度</w:t>
            </w:r>
          </w:p>
        </w:tc>
        <w:tc>
          <w:tcPr>
            <w:tcW w:w="1136" w:type="dxa"/>
            <w:vAlign w:val="center"/>
          </w:tcPr>
          <w:p w14:paraId="15B8E5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5.20E+05</w:t>
            </w:r>
          </w:p>
        </w:tc>
        <w:tc>
          <w:tcPr>
            <w:tcW w:w="1136" w:type="dxa"/>
            <w:vAlign w:val="center"/>
          </w:tcPr>
          <w:p w14:paraId="3962A3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5.31E+05</w:t>
            </w:r>
          </w:p>
        </w:tc>
        <w:tc>
          <w:tcPr>
            <w:tcW w:w="1136" w:type="dxa"/>
            <w:vAlign w:val="center"/>
          </w:tcPr>
          <w:p w14:paraId="0C7393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5.13E+05</w:t>
            </w:r>
          </w:p>
        </w:tc>
        <w:tc>
          <w:tcPr>
            <w:tcW w:w="1136" w:type="dxa"/>
            <w:vAlign w:val="center"/>
          </w:tcPr>
          <w:p w14:paraId="4B3FDE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5.20E+05</w:t>
            </w:r>
          </w:p>
        </w:tc>
        <w:tc>
          <w:tcPr>
            <w:tcW w:w="1136" w:type="dxa"/>
            <w:vAlign w:val="center"/>
          </w:tcPr>
          <w:p w14:paraId="63177F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5.12E+05</w:t>
            </w:r>
          </w:p>
        </w:tc>
        <w:tc>
          <w:tcPr>
            <w:tcW w:w="1136" w:type="dxa"/>
            <w:vAlign w:val="center"/>
          </w:tcPr>
          <w:p w14:paraId="18BDAE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5.43E+05</w:t>
            </w:r>
          </w:p>
        </w:tc>
        <w:tc>
          <w:tcPr>
            <w:tcW w:w="1136" w:type="dxa"/>
            <w:vAlign w:val="center"/>
          </w:tcPr>
          <w:p w14:paraId="1639CD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5.24E+05</w:t>
            </w:r>
          </w:p>
        </w:tc>
        <w:tc>
          <w:tcPr>
            <w:tcW w:w="1138" w:type="dxa"/>
            <w:vAlign w:val="center"/>
          </w:tcPr>
          <w:p w14:paraId="5EB07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5.24E+05</w:t>
            </w:r>
          </w:p>
        </w:tc>
        <w:tc>
          <w:tcPr>
            <w:tcW w:w="1010" w:type="dxa"/>
            <w:vMerge w:val="restart"/>
            <w:tcBorders>
              <w:right w:val="single" w:color="000000" w:sz="12" w:space="0"/>
            </w:tcBorders>
            <w:vAlign w:val="center"/>
          </w:tcPr>
          <w:p w14:paraId="2BD51CCD">
            <w:pPr>
              <w:spacing w:line="360" w:lineRule="auto"/>
              <w:jc w:val="center"/>
              <w:rPr>
                <w:rFonts w:hint="default" w:ascii="等线" w:hAnsi="等线" w:eastAsia="等线"/>
                <w:color w:val="000000"/>
                <w:szCs w:val="21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Cs w:val="21"/>
                <w:lang w:val="en-US" w:eastAsia="zh-CN"/>
              </w:rPr>
              <w:t>1.98</w:t>
            </w:r>
          </w:p>
        </w:tc>
      </w:tr>
      <w:tr w14:paraId="25941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</w:tcBorders>
            <w:vAlign w:val="center"/>
          </w:tcPr>
          <w:p w14:paraId="2F98676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4F3A4F3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浓度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m</w:t>
            </w:r>
            <w:r>
              <w:rPr>
                <w:rFonts w:hint="eastAsia" w:ascii="宋体" w:hAnsi="宋体" w:eastAsia="宋体"/>
                <w:szCs w:val="21"/>
              </w:rPr>
              <w:t>g/L</w:t>
            </w:r>
          </w:p>
        </w:tc>
        <w:tc>
          <w:tcPr>
            <w:tcW w:w="1136" w:type="dxa"/>
            <w:vAlign w:val="center"/>
          </w:tcPr>
          <w:p w14:paraId="16101B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4.534</w:t>
            </w:r>
          </w:p>
        </w:tc>
        <w:tc>
          <w:tcPr>
            <w:tcW w:w="1136" w:type="dxa"/>
            <w:vAlign w:val="center"/>
          </w:tcPr>
          <w:p w14:paraId="3A3141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4.621</w:t>
            </w:r>
          </w:p>
        </w:tc>
        <w:tc>
          <w:tcPr>
            <w:tcW w:w="1136" w:type="dxa"/>
            <w:vAlign w:val="center"/>
          </w:tcPr>
          <w:p w14:paraId="53D26C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4.475</w:t>
            </w:r>
          </w:p>
        </w:tc>
        <w:tc>
          <w:tcPr>
            <w:tcW w:w="1136" w:type="dxa"/>
            <w:vAlign w:val="center"/>
          </w:tcPr>
          <w:p w14:paraId="0F61D2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4.527</w:t>
            </w:r>
          </w:p>
        </w:tc>
        <w:tc>
          <w:tcPr>
            <w:tcW w:w="1136" w:type="dxa"/>
            <w:vAlign w:val="center"/>
          </w:tcPr>
          <w:p w14:paraId="7EF977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4.459</w:t>
            </w:r>
          </w:p>
        </w:tc>
        <w:tc>
          <w:tcPr>
            <w:tcW w:w="1136" w:type="dxa"/>
            <w:vAlign w:val="center"/>
          </w:tcPr>
          <w:p w14:paraId="57427F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4.721</w:t>
            </w:r>
          </w:p>
        </w:tc>
        <w:tc>
          <w:tcPr>
            <w:tcW w:w="1136" w:type="dxa"/>
            <w:vAlign w:val="center"/>
          </w:tcPr>
          <w:p w14:paraId="69AF19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4.566</w:t>
            </w:r>
          </w:p>
        </w:tc>
        <w:tc>
          <w:tcPr>
            <w:tcW w:w="1138" w:type="dxa"/>
            <w:vAlign w:val="center"/>
          </w:tcPr>
          <w:p w14:paraId="255E19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4.561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</w:tcPr>
          <w:p w14:paraId="12A022F3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10312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</w:tcBorders>
            <w:vAlign w:val="center"/>
          </w:tcPr>
          <w:p w14:paraId="26C8E50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53343AB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回收率%</w:t>
            </w:r>
          </w:p>
        </w:tc>
        <w:tc>
          <w:tcPr>
            <w:tcW w:w="1136" w:type="dxa"/>
            <w:vAlign w:val="center"/>
          </w:tcPr>
          <w:p w14:paraId="5DD41C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100.75</w:t>
            </w:r>
          </w:p>
        </w:tc>
        <w:tc>
          <w:tcPr>
            <w:tcW w:w="1136" w:type="dxa"/>
            <w:vAlign w:val="center"/>
          </w:tcPr>
          <w:p w14:paraId="36F251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102.68</w:t>
            </w:r>
          </w:p>
        </w:tc>
        <w:tc>
          <w:tcPr>
            <w:tcW w:w="1136" w:type="dxa"/>
            <w:vAlign w:val="center"/>
          </w:tcPr>
          <w:p w14:paraId="3C944F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99.45</w:t>
            </w:r>
          </w:p>
        </w:tc>
        <w:tc>
          <w:tcPr>
            <w:tcW w:w="1136" w:type="dxa"/>
            <w:vAlign w:val="center"/>
          </w:tcPr>
          <w:p w14:paraId="651681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100.60</w:t>
            </w:r>
          </w:p>
        </w:tc>
        <w:tc>
          <w:tcPr>
            <w:tcW w:w="1136" w:type="dxa"/>
            <w:vAlign w:val="center"/>
          </w:tcPr>
          <w:p w14:paraId="6A1826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99.09</w:t>
            </w:r>
          </w:p>
        </w:tc>
        <w:tc>
          <w:tcPr>
            <w:tcW w:w="1136" w:type="dxa"/>
            <w:vAlign w:val="center"/>
          </w:tcPr>
          <w:p w14:paraId="72691D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104.92</w:t>
            </w:r>
          </w:p>
        </w:tc>
        <w:tc>
          <w:tcPr>
            <w:tcW w:w="1136" w:type="dxa"/>
            <w:vAlign w:val="center"/>
          </w:tcPr>
          <w:p w14:paraId="1358C0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101.46</w:t>
            </w:r>
          </w:p>
        </w:tc>
        <w:tc>
          <w:tcPr>
            <w:tcW w:w="1138" w:type="dxa"/>
            <w:vAlign w:val="center"/>
          </w:tcPr>
          <w:p w14:paraId="6EAF3E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101.37</w:t>
            </w:r>
          </w:p>
        </w:tc>
        <w:tc>
          <w:tcPr>
            <w:tcW w:w="1010" w:type="dxa"/>
            <w:vMerge w:val="continue"/>
            <w:tcBorders>
              <w:right w:val="single" w:color="000000" w:sz="12" w:space="0"/>
            </w:tcBorders>
          </w:tcPr>
          <w:p w14:paraId="43A87CBB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</w:p>
        </w:tc>
      </w:tr>
      <w:tr w14:paraId="2ABB9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vMerge w:val="continue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5EEF32A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56" w:type="dxa"/>
            <w:gridSpan w:val="10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4E6452E6">
            <w:pPr>
              <w:spacing w:line="360" w:lineRule="auto"/>
              <w:jc w:val="center"/>
              <w:rPr>
                <w:rFonts w:ascii="等线" w:hAnsi="等线" w:eastAsia="等线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重复性条件下获得的七次独立测定结果的极差为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0.262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，是算术平均值的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5.75</w:t>
            </w:r>
            <w:r>
              <w:rPr>
                <w:rFonts w:hint="eastAsia" w:ascii="宋体" w:hAnsi="宋体" w:eastAsia="宋体"/>
                <w:color w:val="000000"/>
                <w:szCs w:val="21"/>
              </w:rPr>
              <w:t>%。</w:t>
            </w:r>
          </w:p>
        </w:tc>
      </w:tr>
    </w:tbl>
    <w:p w14:paraId="3F54B87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根据</w:t>
      </w: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的检测数据，</w:t>
      </w:r>
      <w:r>
        <w:rPr>
          <w:rFonts w:hint="eastAsia" w:ascii="宋体" w:hAnsi="宋体" w:eastAsia="宋体"/>
          <w:sz w:val="24"/>
          <w:szCs w:val="24"/>
          <w:lang w:eastAsia="zh-CN"/>
        </w:rPr>
        <w:t>及表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3代表性盐产品检测数据，</w:t>
      </w:r>
      <w:r>
        <w:rPr>
          <w:rFonts w:hint="eastAsia" w:ascii="宋体" w:hAnsi="宋体" w:eastAsia="宋体"/>
          <w:sz w:val="24"/>
          <w:szCs w:val="24"/>
        </w:rPr>
        <w:t>将精密度要求定为“在重复性条件下获得的2次独立测定结果</w:t>
      </w:r>
      <w:r>
        <w:rPr>
          <w:rFonts w:hint="eastAsia" w:ascii="宋体" w:hAnsi="宋体" w:eastAsia="宋体"/>
          <w:sz w:val="24"/>
          <w:szCs w:val="24"/>
          <w:highlight w:val="none"/>
        </w:rPr>
        <w:t>的绝对差值不</w:t>
      </w:r>
      <w:r>
        <w:rPr>
          <w:rFonts w:hint="eastAsia" w:ascii="宋体" w:hAnsi="宋体" w:eastAsia="宋体"/>
          <w:sz w:val="24"/>
          <w:szCs w:val="24"/>
        </w:rPr>
        <w:t>得超过算数平均值</w:t>
      </w:r>
      <w:r>
        <w:rPr>
          <w:rFonts w:hint="eastAsia" w:ascii="宋体" w:hAnsi="宋体" w:eastAsia="宋体"/>
          <w:sz w:val="24"/>
          <w:szCs w:val="24"/>
          <w:highlight w:val="none"/>
        </w:rPr>
        <w:t>的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  <w:highlight w:val="none"/>
        </w:rPr>
        <w:t>%</w:t>
      </w:r>
      <w:r>
        <w:rPr>
          <w:rFonts w:hint="eastAsia" w:ascii="宋体" w:hAnsi="宋体" w:eastAsia="宋体"/>
          <w:sz w:val="24"/>
          <w:szCs w:val="24"/>
        </w:rPr>
        <w:t>。”</w:t>
      </w:r>
    </w:p>
    <w:p w14:paraId="2B2BB00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 xml:space="preserve"> 样品检测</w:t>
      </w:r>
    </w:p>
    <w:p w14:paraId="2ED9746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标准起草组选取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个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具有代表性的</w:t>
      </w:r>
      <w:r>
        <w:rPr>
          <w:rFonts w:hint="eastAsia" w:ascii="宋体" w:hAnsi="宋体" w:eastAsia="宋体"/>
          <w:sz w:val="24"/>
          <w:szCs w:val="24"/>
        </w:rPr>
        <w:t>食用盐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产品</w:t>
      </w:r>
      <w:r>
        <w:rPr>
          <w:rFonts w:hint="eastAsia" w:ascii="宋体" w:hAnsi="宋体" w:eastAsia="宋体"/>
          <w:sz w:val="24"/>
          <w:szCs w:val="24"/>
        </w:rPr>
        <w:t>进行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酒石酸铁</w:t>
      </w:r>
      <w:r>
        <w:rPr>
          <w:rFonts w:hint="eastAsia" w:ascii="宋体" w:hAnsi="宋体" w:eastAsia="宋体"/>
          <w:sz w:val="24"/>
          <w:szCs w:val="24"/>
        </w:rPr>
        <w:t>含量的检测。数据见表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。可见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检测方法可</w:t>
      </w:r>
      <w:r>
        <w:rPr>
          <w:rFonts w:hint="eastAsia" w:ascii="宋体" w:hAnsi="宋体" w:eastAsia="宋体"/>
          <w:sz w:val="24"/>
          <w:szCs w:val="24"/>
        </w:rPr>
        <w:t>满足标准要求。</w:t>
      </w:r>
    </w:p>
    <w:p w14:paraId="6EC6B76B"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12个食用盐产品中酒石酸铁含量及精密度情况</w:t>
      </w:r>
    </w:p>
    <w:tbl>
      <w:tblPr>
        <w:tblStyle w:val="7"/>
        <w:tblW w:w="5170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225"/>
        <w:gridCol w:w="1603"/>
        <w:gridCol w:w="1603"/>
        <w:gridCol w:w="2131"/>
      </w:tblGrid>
      <w:tr w14:paraId="172623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1146F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样品编号</w:t>
            </w:r>
          </w:p>
        </w:tc>
        <w:tc>
          <w:tcPr>
            <w:tcW w:w="1262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0757B8A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样品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573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响应值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479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浓度mg/L</w:t>
            </w:r>
          </w:p>
        </w:tc>
        <w:tc>
          <w:tcPr>
            <w:tcW w:w="12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0110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极差的相对值%</w:t>
            </w:r>
          </w:p>
        </w:tc>
      </w:tr>
      <w:tr w14:paraId="33F50D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546847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10BAB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未加碘低钠盐（含亚铁氰化钾）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1ACC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2.58E+05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0A43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2.316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692AE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9.80</w:t>
            </w:r>
          </w:p>
        </w:tc>
      </w:tr>
      <w:tr w14:paraId="3228A5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976C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3F789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09F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6F9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2.100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DE4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B1FB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2CF6F2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62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427487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加碘低钠盐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1BD7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6F38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1.694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243C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0.65</w:t>
            </w:r>
          </w:p>
        </w:tc>
      </w:tr>
      <w:tr w14:paraId="44ED83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7A3F3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62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5D92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922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1.86E+05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7294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1.705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40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EB6B1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719E81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32B64F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深井海藻碘盐（含亚铁氰化钾）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3971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035F5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1.838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5677F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0.78</w:t>
            </w:r>
          </w:p>
        </w:tc>
      </w:tr>
      <w:tr w14:paraId="557587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94F5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32D67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A8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79D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1.852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F2D6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9D840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0E1EE9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155872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加碘低钠盐（含柠檬酸铁铵）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00E5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31F4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1.686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1CD8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14.89</w:t>
            </w:r>
          </w:p>
        </w:tc>
      </w:tr>
      <w:tr w14:paraId="764A36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129F6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93707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648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2.16E+05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46AA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1.958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188C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66FDC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0E8A5E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2AC5B4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无碘低钠盐（含柠檬酸铁铵）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2FE3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43302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1.172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vAlign w:val="center"/>
          </w:tcPr>
          <w:p w14:paraId="32FE7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11.73</w:t>
            </w:r>
          </w:p>
        </w:tc>
      </w:tr>
      <w:tr w14:paraId="6CC36C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E5FD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0882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49F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1.07E+05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B1C2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1.042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2B5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</w:tr>
      <w:tr w14:paraId="54E950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39D5C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01C318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低钠海盐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F73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1.74E+05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908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1.609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2576B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4.22</w:t>
            </w:r>
          </w:p>
        </w:tc>
      </w:tr>
      <w:tr w14:paraId="2C617D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335878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7D27FA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3BB9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1.83E+05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03F2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1.679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6C73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</w:tr>
      <w:tr w14:paraId="24A2B8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DBA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27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海藻碘海盐（含亚铁氰化钾）</w:t>
            </w:r>
          </w:p>
        </w:tc>
        <w:tc>
          <w:tcPr>
            <w:tcW w:w="909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4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2.53E+05</w:t>
            </w:r>
          </w:p>
        </w:tc>
        <w:tc>
          <w:tcPr>
            <w:tcW w:w="909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1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2.276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left w:val="single" w:color="000000" w:sz="4" w:space="0"/>
            </w:tcBorders>
            <w:shd w:val="clear" w:color="auto" w:fill="auto"/>
            <w:vAlign w:val="center"/>
          </w:tcPr>
          <w:p w14:paraId="75BB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4.71</w:t>
            </w:r>
          </w:p>
        </w:tc>
      </w:tr>
      <w:tr w14:paraId="003FE2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2D17EC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262" w:type="pct"/>
            <w:vMerge w:val="continue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415269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4B2AF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2.66E+05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 w14:paraId="08DE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2.386</w:t>
            </w:r>
          </w:p>
        </w:tc>
        <w:tc>
          <w:tcPr>
            <w:tcW w:w="1209" w:type="pct"/>
            <w:vMerge w:val="continue"/>
            <w:tcBorders>
              <w:left w:val="single" w:color="000000" w:sz="4" w:space="0"/>
              <w:bottom w:val="single" w:color="000000" w:sz="12" w:space="0"/>
            </w:tcBorders>
            <w:vAlign w:val="center"/>
          </w:tcPr>
          <w:p w14:paraId="7C46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/>
                <w:color w:val="000000"/>
                <w:sz w:val="22"/>
                <w:lang w:val="en-US" w:eastAsia="zh-CN"/>
              </w:rPr>
            </w:pPr>
          </w:p>
        </w:tc>
      </w:tr>
      <w:tr w14:paraId="212C3C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B9087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D0EE3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九烤竹盐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D53A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1.88E+05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481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1.724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2F3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theme="minorBidi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0.73</w:t>
            </w:r>
          </w:p>
        </w:tc>
      </w:tr>
      <w:tr w14:paraId="44A9EF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688688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1BC20C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06BF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1.89E+05</w:t>
            </w: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28FF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1.736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0BC0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D9B0A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52CEC3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CE917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鲜味低钠盐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6F7E0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1.63E+05</w:t>
            </w:r>
          </w:p>
        </w:tc>
        <w:tc>
          <w:tcPr>
            <w:tcW w:w="909" w:type="pc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7A5A2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1.510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010D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2.38</w:t>
            </w:r>
          </w:p>
        </w:tc>
      </w:tr>
      <w:tr w14:paraId="6C41E9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1447B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4EC7D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5DD8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1.58E+05</w:t>
            </w:r>
          </w:p>
        </w:tc>
        <w:tc>
          <w:tcPr>
            <w:tcW w:w="909" w:type="pct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498C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1.474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  <w:vAlign w:val="center"/>
          </w:tcPr>
          <w:p w14:paraId="12B75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theme="minorBidi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12D6C0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6247EC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6CF528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海盐花（雪花盐）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9BF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9.57E+04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AF8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0.944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6DA93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3.03</w:t>
            </w:r>
          </w:p>
        </w:tc>
      </w:tr>
      <w:tr w14:paraId="476835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5125BE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3183F3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0049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9.24E+04</w:t>
            </w: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58E0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0.916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1F98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theme="minorBidi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 w14:paraId="05F785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2DD2D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305BE6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草原湖盐无碘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10D6D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2.54E+05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BD0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2.282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837A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11.56</w:t>
            </w:r>
          </w:p>
        </w:tc>
      </w:tr>
      <w:tr w14:paraId="0439CE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7A0833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5E14DF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157D9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2.25E+05</w:t>
            </w: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2BED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2.033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</w:tcBorders>
            <w:vAlign w:val="center"/>
          </w:tcPr>
          <w:p w14:paraId="780A4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</w:tr>
      <w:tr w14:paraId="28D298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121BC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262" w:type="pct"/>
            <w:vMerge w:val="restar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3024C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天然富硒盐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C6D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6.66E+02</w:t>
            </w:r>
          </w:p>
        </w:tc>
        <w:tc>
          <w:tcPr>
            <w:tcW w:w="909" w:type="pct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5406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0.141</w:t>
            </w:r>
          </w:p>
        </w:tc>
        <w:tc>
          <w:tcPr>
            <w:tcW w:w="1209" w:type="pct"/>
            <w:vMerge w:val="restart"/>
            <w:tcBorders>
              <w:top w:val="single" w:color="000000" w:sz="12" w:space="0"/>
            </w:tcBorders>
            <w:vAlign w:val="center"/>
          </w:tcPr>
          <w:p w14:paraId="1C3A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/>
                <w:color w:val="00000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lang w:val="en-US" w:eastAsia="zh-CN"/>
              </w:rPr>
              <w:t>10.03</w:t>
            </w:r>
          </w:p>
        </w:tc>
      </w:tr>
      <w:tr w14:paraId="3E60FF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523A2C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262" w:type="pct"/>
            <w:vMerge w:val="continue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6B9C89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471B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2.42E+03</w:t>
            </w:r>
          </w:p>
        </w:tc>
        <w:tc>
          <w:tcPr>
            <w:tcW w:w="909" w:type="pct"/>
            <w:tcBorders>
              <w:bottom w:val="single" w:color="000000" w:sz="12" w:space="0"/>
            </w:tcBorders>
            <w:shd w:val="clear" w:color="auto" w:fill="auto"/>
            <w:vAlign w:val="center"/>
          </w:tcPr>
          <w:p w14:paraId="79BE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0.156</w:t>
            </w:r>
          </w:p>
        </w:tc>
        <w:tc>
          <w:tcPr>
            <w:tcW w:w="1209" w:type="pct"/>
            <w:vMerge w:val="continue"/>
            <w:tcBorders>
              <w:bottom w:val="single" w:color="000000" w:sz="12" w:space="0"/>
            </w:tcBorders>
            <w:vAlign w:val="center"/>
          </w:tcPr>
          <w:p w14:paraId="4E93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</w:tr>
    </w:tbl>
    <w:p w14:paraId="6BEC4F6D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四、标准中涉及专利情况</w:t>
      </w:r>
    </w:p>
    <w:p w14:paraId="3DC430F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本标准中不涉及专利问题。</w:t>
      </w:r>
    </w:p>
    <w:p w14:paraId="3C1CD911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五、预期达到的社会效益、对产业发展的作用等情况</w:t>
      </w:r>
    </w:p>
    <w:p w14:paraId="34754AE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统一规范检测方法，填补国内盐行业此方面空白。对盐行业发展具有重要的现实意义。提高产品质量，增强市场竞争力。</w:t>
      </w:r>
    </w:p>
    <w:p w14:paraId="3B0180B0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六、与国际、国外对比情况</w:t>
      </w:r>
    </w:p>
    <w:p w14:paraId="4956DB1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本标准制定过程中未查到同类国际、国外标准，没有采用国际标准或国外先进标准。本标准水平为国内领先水平。</w:t>
      </w:r>
    </w:p>
    <w:p w14:paraId="49126EF3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七、在标准体系中的位置，与现行相关法律、法规、规章及相关标准，</w:t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  <w:szCs w:val="24"/>
        </w:rPr>
        <w:t>特别是强制性标准的协调性</w:t>
      </w:r>
    </w:p>
    <w:p w14:paraId="7A8B743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本专业领域的标准体系框架如下图：</w:t>
      </w:r>
    </w:p>
    <w:p w14:paraId="0DD25BF1">
      <w:pPr>
        <w:spacing w:line="360" w:lineRule="auto"/>
        <w:ind w:left="-3" w:leftChars="-136" w:hanging="283" w:hangingChars="118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object>
          <v:shape id="_x0000_i1025" o:spt="75" type="#_x0000_t75" style="height:216.95pt;width:459.8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36D9A24E">
      <w:pPr>
        <w:spacing w:line="360" w:lineRule="auto"/>
        <w:ind w:left="-76" w:leftChars="-36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根据全国盐业标准化技术委员会提出的盐业“十四五”标准体系建设方案，此次制定的《食用盐中抗结剂酒石酸铁的测定》方法标准，在盐业的技术标准体系表中，属于“01食用盐”大类，“99其他”中类，体系表编号为“152950001000000026FF”。</w:t>
      </w:r>
    </w:p>
    <w:p w14:paraId="710DF1E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本标准与现行相关法律、法规、规章及相关标准协调一致。</w:t>
      </w:r>
    </w:p>
    <w:p w14:paraId="63F602F5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八、重大分歧意见的处理经过和依据</w:t>
      </w:r>
    </w:p>
    <w:p w14:paraId="30882A9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无</w:t>
      </w:r>
    </w:p>
    <w:p w14:paraId="2F75FC63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九、标准性质的建议说明</w:t>
      </w:r>
    </w:p>
    <w:p w14:paraId="68961DC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建议本标准的性质为推荐性行业标准。</w:t>
      </w:r>
    </w:p>
    <w:p w14:paraId="64AA9320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十、贯彻标准的要求和措施建议</w:t>
      </w:r>
    </w:p>
    <w:p w14:paraId="2401DB62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建议本标准批准发布</w:t>
      </w:r>
      <w:r>
        <w:rPr>
          <w:rFonts w:ascii="宋体" w:hAnsi="宋体" w:eastAsia="宋体"/>
          <w:sz w:val="24"/>
          <w:szCs w:val="24"/>
        </w:rPr>
        <w:t xml:space="preserve"> 6 </w:t>
      </w:r>
      <w:r>
        <w:rPr>
          <w:rFonts w:hint="eastAsia" w:ascii="宋体" w:hAnsi="宋体" w:eastAsia="宋体"/>
          <w:sz w:val="24"/>
          <w:szCs w:val="24"/>
        </w:rPr>
        <w:t>个月后实施。</w:t>
      </w:r>
    </w:p>
    <w:p w14:paraId="78174A0C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十一、废止现行相关标准的建议</w:t>
      </w:r>
    </w:p>
    <w:p w14:paraId="18C9844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无。</w:t>
      </w:r>
    </w:p>
    <w:p w14:paraId="3CF7D20B">
      <w:pPr>
        <w:spacing w:line="360" w:lineRule="auto"/>
        <w:ind w:firstLine="482" w:firstLineChars="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十二、其他应予说明的事项</w:t>
      </w:r>
    </w:p>
    <w:p w14:paraId="6E1B33C4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bookmarkStart w:id="0" w:name="附件3_征求意见表"/>
      <w:bookmarkEnd w:id="0"/>
      <w:r>
        <w:rPr>
          <w:rFonts w:hint="eastAsia" w:ascii="宋体" w:hAnsi="宋体" w:eastAsia="宋体"/>
          <w:sz w:val="24"/>
          <w:szCs w:val="24"/>
        </w:rPr>
        <w:t>计划项目原起草单位为“国盐检测（天津）有限责任公司、中盐工程技术研究院有限公司、天津科技大学”。在标准起草过程中，</w:t>
      </w:r>
      <w:r>
        <w:rPr>
          <w:rFonts w:hint="eastAsia" w:ascii="宋体" w:hAnsi="宋体" w:eastAsia="宋体"/>
          <w:sz w:val="24"/>
          <w:szCs w:val="24"/>
          <w:highlight w:val="none"/>
        </w:rPr>
        <w:t>雪天盐业集团股份有限公司</w:t>
      </w:r>
      <w:r>
        <w:rPr>
          <w:rFonts w:hint="eastAsia" w:ascii="宋体" w:hAnsi="宋体" w:eastAsia="宋体"/>
          <w:sz w:val="24"/>
          <w:szCs w:val="24"/>
        </w:rPr>
        <w:t>做了大量工作。工作组经研讨，提出标准起草单位变更的申请，依据贡献量的大小，将起草单位及排列顺序申请改为“国盐检测（天津）有限责任公司、雪天盐业集团股份有限公司</w:t>
      </w:r>
      <w:r>
        <w:rPr>
          <w:rFonts w:hint="eastAsia" w:ascii="宋体" w:hAnsi="宋体" w:eastAsia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sz w:val="24"/>
          <w:szCs w:val="24"/>
        </w:rPr>
        <w:t>中盐工程技术研究院有限公司、天津科技大学”。标准起草单位变更经全体委员一致同意后，于2026年7月2日办理了计划项目调整申请。</w:t>
      </w:r>
    </w:p>
    <w:p w14:paraId="53D9CA2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以上变更经全体委员一致同意。</w:t>
      </w:r>
    </w:p>
    <w:p w14:paraId="31B42482">
      <w:pPr>
        <w:spacing w:line="360" w:lineRule="auto"/>
        <w:jc w:val="right"/>
        <w:rPr>
          <w:rFonts w:ascii="宋体" w:hAnsi="宋体" w:eastAsia="宋体"/>
          <w:b/>
          <w:bCs/>
          <w:sz w:val="24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8"/>
          <w:lang w:val="en-US" w:eastAsia="zh-CN"/>
        </w:rPr>
        <w:t>《食用盐中抗结剂酒石酸铁的测定》标准起草工作组</w:t>
      </w:r>
    </w:p>
    <w:p w14:paraId="16F2A159">
      <w:pPr>
        <w:spacing w:line="360" w:lineRule="auto"/>
        <w:ind w:firstLine="480" w:firstLineChars="200"/>
        <w:jc w:val="right"/>
        <w:rPr>
          <w:rFonts w:ascii="宋体" w:hAnsi="宋体" w:eastAsia="宋体"/>
          <w:sz w:val="22"/>
        </w:rPr>
      </w:pPr>
      <w:r>
        <w:rPr>
          <w:rFonts w:ascii="宋体" w:hAnsi="宋体"/>
          <w:b/>
          <w:bCs/>
          <w:sz w:val="24"/>
          <w:szCs w:val="24"/>
        </w:rPr>
        <w:t xml:space="preserve">          </w:t>
      </w:r>
      <w:r>
        <w:rPr>
          <w:rFonts w:hint="eastAsia" w:ascii="宋体" w:hAnsi="宋体"/>
          <w:b/>
          <w:bCs/>
          <w:sz w:val="24"/>
          <w:szCs w:val="24"/>
        </w:rPr>
        <w:t>202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b/>
          <w:bCs/>
          <w:sz w:val="24"/>
          <w:szCs w:val="24"/>
        </w:rPr>
        <w:t>年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  <w:szCs w:val="24"/>
        </w:rPr>
        <w:t>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20</w:t>
      </w:r>
      <w:bookmarkStart w:id="1" w:name="_GoBack"/>
      <w:bookmarkEnd w:id="1"/>
      <w:r>
        <w:rPr>
          <w:rFonts w:hint="eastAsia" w:ascii="宋体" w:hAnsi="宋体"/>
          <w:b/>
          <w:bCs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mNjM0ZTc3OTJhMDVkYWFkOGM4NGY1YTg3ZGQ5NWEifQ=="/>
  </w:docVars>
  <w:rsids>
    <w:rsidRoot w:val="00672B0B"/>
    <w:rsid w:val="00003640"/>
    <w:rsid w:val="00040133"/>
    <w:rsid w:val="000437C0"/>
    <w:rsid w:val="00043EEB"/>
    <w:rsid w:val="000448C9"/>
    <w:rsid w:val="0005057E"/>
    <w:rsid w:val="00052E45"/>
    <w:rsid w:val="00071BEC"/>
    <w:rsid w:val="0009333D"/>
    <w:rsid w:val="000A4DAB"/>
    <w:rsid w:val="000A50C9"/>
    <w:rsid w:val="000B5597"/>
    <w:rsid w:val="000B5F1C"/>
    <w:rsid w:val="000B62B9"/>
    <w:rsid w:val="000B6987"/>
    <w:rsid w:val="000C1DE1"/>
    <w:rsid w:val="000D2BF6"/>
    <w:rsid w:val="000D6CA7"/>
    <w:rsid w:val="000E0527"/>
    <w:rsid w:val="000E0994"/>
    <w:rsid w:val="000E7703"/>
    <w:rsid w:val="00104114"/>
    <w:rsid w:val="0012570B"/>
    <w:rsid w:val="00135471"/>
    <w:rsid w:val="00160077"/>
    <w:rsid w:val="001857DB"/>
    <w:rsid w:val="001A0958"/>
    <w:rsid w:val="001A0AA2"/>
    <w:rsid w:val="001B3225"/>
    <w:rsid w:val="001B433E"/>
    <w:rsid w:val="001C2970"/>
    <w:rsid w:val="001C4779"/>
    <w:rsid w:val="001F67E9"/>
    <w:rsid w:val="00216E88"/>
    <w:rsid w:val="00230B03"/>
    <w:rsid w:val="00235CEB"/>
    <w:rsid w:val="00246A1B"/>
    <w:rsid w:val="0026415F"/>
    <w:rsid w:val="002665DA"/>
    <w:rsid w:val="002731B4"/>
    <w:rsid w:val="00274C4E"/>
    <w:rsid w:val="00275E59"/>
    <w:rsid w:val="002761FD"/>
    <w:rsid w:val="00286F23"/>
    <w:rsid w:val="002B1378"/>
    <w:rsid w:val="002B7EE1"/>
    <w:rsid w:val="002C27F7"/>
    <w:rsid w:val="002D245A"/>
    <w:rsid w:val="002D47AB"/>
    <w:rsid w:val="002E2A70"/>
    <w:rsid w:val="002F1811"/>
    <w:rsid w:val="002F484F"/>
    <w:rsid w:val="00310B37"/>
    <w:rsid w:val="00311031"/>
    <w:rsid w:val="003141F5"/>
    <w:rsid w:val="003276DE"/>
    <w:rsid w:val="00327CA1"/>
    <w:rsid w:val="003313FE"/>
    <w:rsid w:val="00351F5B"/>
    <w:rsid w:val="00363069"/>
    <w:rsid w:val="0036677E"/>
    <w:rsid w:val="00366F1B"/>
    <w:rsid w:val="00381D26"/>
    <w:rsid w:val="00394C3C"/>
    <w:rsid w:val="003A38E2"/>
    <w:rsid w:val="003B3C2F"/>
    <w:rsid w:val="003B45CD"/>
    <w:rsid w:val="003B7A3A"/>
    <w:rsid w:val="003B7BCF"/>
    <w:rsid w:val="003C3018"/>
    <w:rsid w:val="003E30FE"/>
    <w:rsid w:val="003F5B60"/>
    <w:rsid w:val="004076B4"/>
    <w:rsid w:val="00421106"/>
    <w:rsid w:val="00437CB3"/>
    <w:rsid w:val="00442EE9"/>
    <w:rsid w:val="0044324F"/>
    <w:rsid w:val="00450E0E"/>
    <w:rsid w:val="004650E3"/>
    <w:rsid w:val="00466C63"/>
    <w:rsid w:val="004942DF"/>
    <w:rsid w:val="004A3873"/>
    <w:rsid w:val="004A77E7"/>
    <w:rsid w:val="004B413F"/>
    <w:rsid w:val="004D6C3B"/>
    <w:rsid w:val="004E6D02"/>
    <w:rsid w:val="00501ABE"/>
    <w:rsid w:val="0051664A"/>
    <w:rsid w:val="0053259F"/>
    <w:rsid w:val="005465A0"/>
    <w:rsid w:val="00564E4A"/>
    <w:rsid w:val="00566FC7"/>
    <w:rsid w:val="0057245F"/>
    <w:rsid w:val="00582FA6"/>
    <w:rsid w:val="00586B78"/>
    <w:rsid w:val="00594218"/>
    <w:rsid w:val="005C5033"/>
    <w:rsid w:val="005D7A80"/>
    <w:rsid w:val="005D7E16"/>
    <w:rsid w:val="0063352E"/>
    <w:rsid w:val="006410D4"/>
    <w:rsid w:val="00647047"/>
    <w:rsid w:val="00653CF9"/>
    <w:rsid w:val="00662B22"/>
    <w:rsid w:val="00663E4D"/>
    <w:rsid w:val="00666917"/>
    <w:rsid w:val="00672B0B"/>
    <w:rsid w:val="00672FEA"/>
    <w:rsid w:val="006776B6"/>
    <w:rsid w:val="006A52C6"/>
    <w:rsid w:val="006C2411"/>
    <w:rsid w:val="006D193C"/>
    <w:rsid w:val="006E4BD4"/>
    <w:rsid w:val="006F14B5"/>
    <w:rsid w:val="006F1FA5"/>
    <w:rsid w:val="006F6DA6"/>
    <w:rsid w:val="00700363"/>
    <w:rsid w:val="0071446D"/>
    <w:rsid w:val="00716FA2"/>
    <w:rsid w:val="00733F77"/>
    <w:rsid w:val="00734246"/>
    <w:rsid w:val="007556E1"/>
    <w:rsid w:val="007A3CF2"/>
    <w:rsid w:val="007C1A28"/>
    <w:rsid w:val="007D7036"/>
    <w:rsid w:val="007E2314"/>
    <w:rsid w:val="007F21C7"/>
    <w:rsid w:val="007F723B"/>
    <w:rsid w:val="00801527"/>
    <w:rsid w:val="00802BA9"/>
    <w:rsid w:val="00807F67"/>
    <w:rsid w:val="0081521F"/>
    <w:rsid w:val="00817470"/>
    <w:rsid w:val="00820968"/>
    <w:rsid w:val="00821B8E"/>
    <w:rsid w:val="008363BD"/>
    <w:rsid w:val="00847192"/>
    <w:rsid w:val="00855F6A"/>
    <w:rsid w:val="00857E7E"/>
    <w:rsid w:val="008632CA"/>
    <w:rsid w:val="0086436C"/>
    <w:rsid w:val="00873998"/>
    <w:rsid w:val="00882CF5"/>
    <w:rsid w:val="00891E7B"/>
    <w:rsid w:val="00895D72"/>
    <w:rsid w:val="008A3AED"/>
    <w:rsid w:val="008A5175"/>
    <w:rsid w:val="008A5487"/>
    <w:rsid w:val="008D0613"/>
    <w:rsid w:val="008D1401"/>
    <w:rsid w:val="008E2C1F"/>
    <w:rsid w:val="008E35C5"/>
    <w:rsid w:val="008F3106"/>
    <w:rsid w:val="008F7111"/>
    <w:rsid w:val="00906DA6"/>
    <w:rsid w:val="00915502"/>
    <w:rsid w:val="0092450A"/>
    <w:rsid w:val="00927D4B"/>
    <w:rsid w:val="009306DE"/>
    <w:rsid w:val="009316BB"/>
    <w:rsid w:val="0094455B"/>
    <w:rsid w:val="00975BF8"/>
    <w:rsid w:val="009845AA"/>
    <w:rsid w:val="00985C6B"/>
    <w:rsid w:val="00986805"/>
    <w:rsid w:val="009A337E"/>
    <w:rsid w:val="009B21CD"/>
    <w:rsid w:val="009B33D8"/>
    <w:rsid w:val="009C1AB7"/>
    <w:rsid w:val="009C7F02"/>
    <w:rsid w:val="009E5FF7"/>
    <w:rsid w:val="009F28F7"/>
    <w:rsid w:val="009F52A1"/>
    <w:rsid w:val="009F745A"/>
    <w:rsid w:val="00A01505"/>
    <w:rsid w:val="00A027F9"/>
    <w:rsid w:val="00A03FBD"/>
    <w:rsid w:val="00A046DA"/>
    <w:rsid w:val="00A04916"/>
    <w:rsid w:val="00A06BA0"/>
    <w:rsid w:val="00A10FB9"/>
    <w:rsid w:val="00A344E9"/>
    <w:rsid w:val="00A34E4C"/>
    <w:rsid w:val="00A42918"/>
    <w:rsid w:val="00A50F59"/>
    <w:rsid w:val="00A76721"/>
    <w:rsid w:val="00A86362"/>
    <w:rsid w:val="00A92421"/>
    <w:rsid w:val="00A971E6"/>
    <w:rsid w:val="00AA3F4F"/>
    <w:rsid w:val="00AB3FD0"/>
    <w:rsid w:val="00AB4A07"/>
    <w:rsid w:val="00AC27FB"/>
    <w:rsid w:val="00AD44AE"/>
    <w:rsid w:val="00AE1580"/>
    <w:rsid w:val="00AE15E9"/>
    <w:rsid w:val="00AE2663"/>
    <w:rsid w:val="00AE44B6"/>
    <w:rsid w:val="00AF67A3"/>
    <w:rsid w:val="00B03B39"/>
    <w:rsid w:val="00B10788"/>
    <w:rsid w:val="00B151B7"/>
    <w:rsid w:val="00B15D1E"/>
    <w:rsid w:val="00B213DC"/>
    <w:rsid w:val="00B27105"/>
    <w:rsid w:val="00B31026"/>
    <w:rsid w:val="00B337A4"/>
    <w:rsid w:val="00B33C87"/>
    <w:rsid w:val="00B40A29"/>
    <w:rsid w:val="00B439E5"/>
    <w:rsid w:val="00B44D7A"/>
    <w:rsid w:val="00B51442"/>
    <w:rsid w:val="00B61E7A"/>
    <w:rsid w:val="00B6766C"/>
    <w:rsid w:val="00B72737"/>
    <w:rsid w:val="00B8649E"/>
    <w:rsid w:val="00BA1751"/>
    <w:rsid w:val="00BC184A"/>
    <w:rsid w:val="00BD155B"/>
    <w:rsid w:val="00BD47B9"/>
    <w:rsid w:val="00BD6D82"/>
    <w:rsid w:val="00BD72B0"/>
    <w:rsid w:val="00BE4DB3"/>
    <w:rsid w:val="00BE7B1E"/>
    <w:rsid w:val="00C039D0"/>
    <w:rsid w:val="00C10612"/>
    <w:rsid w:val="00C2476B"/>
    <w:rsid w:val="00C32DA0"/>
    <w:rsid w:val="00C40BBA"/>
    <w:rsid w:val="00C45981"/>
    <w:rsid w:val="00C46B10"/>
    <w:rsid w:val="00C503FF"/>
    <w:rsid w:val="00C563A1"/>
    <w:rsid w:val="00C73C9A"/>
    <w:rsid w:val="00C7712B"/>
    <w:rsid w:val="00C77554"/>
    <w:rsid w:val="00C9264E"/>
    <w:rsid w:val="00C938F5"/>
    <w:rsid w:val="00CA2047"/>
    <w:rsid w:val="00CB08F3"/>
    <w:rsid w:val="00CB2EA9"/>
    <w:rsid w:val="00CB4D4D"/>
    <w:rsid w:val="00CC455D"/>
    <w:rsid w:val="00CD4343"/>
    <w:rsid w:val="00CD44DA"/>
    <w:rsid w:val="00CD653A"/>
    <w:rsid w:val="00CF0037"/>
    <w:rsid w:val="00D00003"/>
    <w:rsid w:val="00D14CEA"/>
    <w:rsid w:val="00D15414"/>
    <w:rsid w:val="00D21809"/>
    <w:rsid w:val="00D21B16"/>
    <w:rsid w:val="00D24175"/>
    <w:rsid w:val="00D24A94"/>
    <w:rsid w:val="00D4351E"/>
    <w:rsid w:val="00D47179"/>
    <w:rsid w:val="00D4753A"/>
    <w:rsid w:val="00D6578A"/>
    <w:rsid w:val="00D71ED2"/>
    <w:rsid w:val="00D84DB0"/>
    <w:rsid w:val="00D87EF2"/>
    <w:rsid w:val="00D90E2B"/>
    <w:rsid w:val="00D914A4"/>
    <w:rsid w:val="00DB4000"/>
    <w:rsid w:val="00DB51AE"/>
    <w:rsid w:val="00DC5763"/>
    <w:rsid w:val="00DD152D"/>
    <w:rsid w:val="00DD2F13"/>
    <w:rsid w:val="00DE2008"/>
    <w:rsid w:val="00DE71A3"/>
    <w:rsid w:val="00DE75B4"/>
    <w:rsid w:val="00E03F8E"/>
    <w:rsid w:val="00E17F06"/>
    <w:rsid w:val="00E3004D"/>
    <w:rsid w:val="00E35463"/>
    <w:rsid w:val="00E36AE7"/>
    <w:rsid w:val="00E43252"/>
    <w:rsid w:val="00E67366"/>
    <w:rsid w:val="00E70B66"/>
    <w:rsid w:val="00E71749"/>
    <w:rsid w:val="00E81070"/>
    <w:rsid w:val="00E84966"/>
    <w:rsid w:val="00E926E4"/>
    <w:rsid w:val="00EA2EF2"/>
    <w:rsid w:val="00EA6753"/>
    <w:rsid w:val="00EB29CC"/>
    <w:rsid w:val="00EB2F93"/>
    <w:rsid w:val="00EC135A"/>
    <w:rsid w:val="00ED6B63"/>
    <w:rsid w:val="00EE22FE"/>
    <w:rsid w:val="00EE47B3"/>
    <w:rsid w:val="00EF052B"/>
    <w:rsid w:val="00EF580F"/>
    <w:rsid w:val="00F1293E"/>
    <w:rsid w:val="00F16E0D"/>
    <w:rsid w:val="00F34D77"/>
    <w:rsid w:val="00F35F42"/>
    <w:rsid w:val="00F42CED"/>
    <w:rsid w:val="00F82E17"/>
    <w:rsid w:val="00F921AA"/>
    <w:rsid w:val="00F97F6F"/>
    <w:rsid w:val="00FE3B4F"/>
    <w:rsid w:val="00FE73E6"/>
    <w:rsid w:val="00FF5B9E"/>
    <w:rsid w:val="00FF5D30"/>
    <w:rsid w:val="09C53B37"/>
    <w:rsid w:val="13FB251C"/>
    <w:rsid w:val="15CD6C3F"/>
    <w:rsid w:val="18352539"/>
    <w:rsid w:val="189124DC"/>
    <w:rsid w:val="1CAE0692"/>
    <w:rsid w:val="22BD1A25"/>
    <w:rsid w:val="3144651C"/>
    <w:rsid w:val="36596E90"/>
    <w:rsid w:val="39C96289"/>
    <w:rsid w:val="3B02795F"/>
    <w:rsid w:val="3F110954"/>
    <w:rsid w:val="3FFE5F74"/>
    <w:rsid w:val="424B6805"/>
    <w:rsid w:val="43A02582"/>
    <w:rsid w:val="44614ACB"/>
    <w:rsid w:val="46E56A5F"/>
    <w:rsid w:val="4A467075"/>
    <w:rsid w:val="4B7A2D83"/>
    <w:rsid w:val="4D9F7D3A"/>
    <w:rsid w:val="4F0C2002"/>
    <w:rsid w:val="50E9068C"/>
    <w:rsid w:val="50F3137A"/>
    <w:rsid w:val="547D414D"/>
    <w:rsid w:val="56FE7AEA"/>
    <w:rsid w:val="58CB22BD"/>
    <w:rsid w:val="5C983C73"/>
    <w:rsid w:val="5CE703A3"/>
    <w:rsid w:val="60902D55"/>
    <w:rsid w:val="62447B40"/>
    <w:rsid w:val="637BA636"/>
    <w:rsid w:val="64605CDD"/>
    <w:rsid w:val="663341B6"/>
    <w:rsid w:val="66FB0739"/>
    <w:rsid w:val="68111A64"/>
    <w:rsid w:val="685A568A"/>
    <w:rsid w:val="687F340A"/>
    <w:rsid w:val="68C34CB3"/>
    <w:rsid w:val="6ABB3600"/>
    <w:rsid w:val="6C2B1967"/>
    <w:rsid w:val="6C8A6409"/>
    <w:rsid w:val="720C5E8E"/>
    <w:rsid w:val="767D7E95"/>
    <w:rsid w:val="7689454B"/>
    <w:rsid w:val="79CC3315"/>
    <w:rsid w:val="79D5004C"/>
    <w:rsid w:val="7AFFD717"/>
    <w:rsid w:val="7F1F06D9"/>
    <w:rsid w:val="7FFB44FB"/>
    <w:rsid w:val="D79C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rFonts w:ascii="Arial" w:hAnsi="Arial" w:eastAsia="Times New Roman" w:cs="Arial"/>
      <w:sz w:val="20"/>
      <w:lang w:val="en-CA" w:eastAsia="en-US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12">
    <w:name w:val="段"/>
    <w:link w:val="13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3">
    <w:name w:val="段 Char"/>
    <w:link w:val="12"/>
    <w:qFormat/>
    <w:uiPriority w:val="0"/>
    <w:rPr>
      <w:rFonts w:ascii="宋体" w:hAnsi="Times New Roman" w:eastAsia="宋体" w:cs="Times New Roman"/>
      <w:sz w:val="21"/>
    </w:rPr>
  </w:style>
  <w:style w:type="paragraph" w:customStyle="1" w:styleId="14">
    <w:name w:val="正文公式编号制表符"/>
    <w:basedOn w:val="12"/>
    <w:next w:val="12"/>
    <w:qFormat/>
    <w:uiPriority w:val="0"/>
    <w:pPr>
      <w:ind w:firstLine="0" w:firstLineChars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image" Target="media/image4.e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3793</Words>
  <Characters>5047</Characters>
  <Lines>68</Lines>
  <Paragraphs>19</Paragraphs>
  <TotalTime>2</TotalTime>
  <ScaleCrop>false</ScaleCrop>
  <LinksUpToDate>false</LinksUpToDate>
  <CharactersWithSpaces>5095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2021-05-29T14:35:00Z</dcterms:created>
  <dc:creator>Z YS</dc:creator>
  <cp:lastModifiedBy>车丽</cp:lastModifiedBy>
  <dcterms:modified xsi:type="dcterms:W3CDTF">2026-08-05T06:40:29Z</dcterms:modified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B2BCDA47F0C34D22A49260A4CF48B150_13</vt:lpwstr>
  </property>
  <property fmtid="{D5CDD505-2E9C-101B-9397-08002B2CF9AE}" pid="4" name="KSOTemplateDocerSaveRecord">
    <vt:lpwstr>eyJoZGlkIjoiMjQ4OTljNjkwZDc5NGVkZjM5MDA0NjM0NzI0YTRjZGIiLCJ1c2VySWQiOiIxMDYyOTUwNDY5In0=</vt:lpwstr>
  </property>
</Properties>
</file>